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CB3E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CED95F5"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619E9BF6"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4491DF65" w14:textId="77777777" w:rsidTr="003F20F5">
        <w:tc>
          <w:tcPr>
            <w:tcW w:w="9968" w:type="dxa"/>
            <w:gridSpan w:val="2"/>
          </w:tcPr>
          <w:p w14:paraId="1CD222E8"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B0BA02C" w14:textId="77777777" w:rsidTr="009166E6">
        <w:trPr>
          <w:trHeight w:val="1134"/>
        </w:trPr>
        <w:tc>
          <w:tcPr>
            <w:tcW w:w="7807" w:type="dxa"/>
          </w:tcPr>
          <w:p w14:paraId="2B33F99D"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リバーロキサバン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15mg</w:t>
            </w:r>
            <w:r w:rsidRPr="000600ED">
              <w:rPr>
                <w:rFonts w:asciiTheme="majorEastAsia" w:eastAsiaTheme="majorEastAsia" w:hAnsiTheme="majorEastAsia" w:hint="eastAsia"/>
                <w:b/>
                <w:sz w:val="24"/>
                <w:szCs w:val="24"/>
              </w:rPr>
              <w:t>「</w:t>
            </w:r>
            <w:r w:rsidRPr="000600ED">
              <w:rPr>
                <w:rFonts w:asciiTheme="majorEastAsia" w:eastAsiaTheme="majorEastAsia" w:hAnsiTheme="majorEastAsia"/>
                <w:b/>
                <w:sz w:val="24"/>
                <w:szCs w:val="24"/>
              </w:rPr>
              <w:t>TCK</w:t>
            </w:r>
            <w:r w:rsidRPr="000600ED">
              <w:rPr>
                <w:rFonts w:asciiTheme="majorEastAsia" w:eastAsiaTheme="majorEastAsia" w:hAnsiTheme="majorEastAsia" w:hint="eastAsia"/>
                <w:b/>
                <w:sz w:val="24"/>
                <w:szCs w:val="24"/>
              </w:rPr>
              <w:t>」［非弁膜症性心房細動患者における虚血性脳卒中および全身性塞栓症の発症抑制］</w:t>
            </w:r>
          </w:p>
          <w:p w14:paraId="03FBC04C"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リバーロキサバン</w:t>
            </w:r>
            <w:r w:rsidRPr="000600ED">
              <w:rPr>
                <w:rFonts w:asciiTheme="minorEastAsia" w:hAnsiTheme="minorEastAsia"/>
                <w:sz w:val="20"/>
                <w:szCs w:val="20"/>
              </w:rPr>
              <w:t>(Rivaroxaban)</w:t>
            </w:r>
          </w:p>
          <w:p w14:paraId="6C0CE94A"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8.6mm</w:t>
            </w:r>
            <w:r w:rsidRPr="000600ED">
              <w:rPr>
                <w:rFonts w:asciiTheme="minorEastAsia" w:hAnsiTheme="minorEastAsia" w:hint="eastAsia"/>
                <w:sz w:val="20"/>
                <w:szCs w:val="20"/>
              </w:rPr>
              <w:t>、厚さ</w:t>
            </w:r>
            <w:r w:rsidRPr="000600ED">
              <w:rPr>
                <w:rFonts w:asciiTheme="minorEastAsia" w:hAnsiTheme="minorEastAsia"/>
                <w:sz w:val="20"/>
                <w:szCs w:val="20"/>
              </w:rPr>
              <w:t>3.3mm</w:t>
            </w:r>
          </w:p>
          <w:p w14:paraId="465EB93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Rivaroxaban OD 15mg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」、リバーロキサバン「</w:t>
            </w:r>
            <w:r w:rsidR="000600ED" w:rsidRPr="000600ED">
              <w:rPr>
                <w:rFonts w:asciiTheme="minorEastAsia" w:hAnsiTheme="minorEastAsia"/>
                <w:sz w:val="20"/>
                <w:szCs w:val="20"/>
              </w:rPr>
              <w:t>TCK</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p>
        </w:tc>
        <w:tc>
          <w:tcPr>
            <w:tcW w:w="2161" w:type="dxa"/>
          </w:tcPr>
          <w:p w14:paraId="3AF52EA7"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4A04233C" wp14:editId="1BC8834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4EB6D53" w14:textId="77777777" w:rsidTr="003F20F5">
        <w:tc>
          <w:tcPr>
            <w:tcW w:w="9968" w:type="dxa"/>
            <w:gridSpan w:val="2"/>
          </w:tcPr>
          <w:p w14:paraId="380C9A3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56850EEA" w14:textId="77777777" w:rsidR="001F4A46" w:rsidRDefault="000600ED" w:rsidP="003F20F5">
            <w:pPr>
              <w:ind w:leftChars="100" w:left="210"/>
              <w:jc w:val="left"/>
            </w:pPr>
            <w:r w:rsidRPr="000600ED">
              <w:rPr>
                <w:rFonts w:asciiTheme="minorEastAsia" w:hAnsiTheme="minorEastAsia" w:hint="eastAsia"/>
                <w:sz w:val="20"/>
                <w:szCs w:val="20"/>
              </w:rPr>
              <w:t>血液凝固第</w:t>
            </w:r>
            <w:r w:rsidRPr="000600ED">
              <w:rPr>
                <w:rFonts w:asciiTheme="minorEastAsia" w:hAnsiTheme="minorEastAsia"/>
                <w:sz w:val="20"/>
                <w:szCs w:val="20"/>
              </w:rPr>
              <w:t>Xa</w:t>
            </w:r>
            <w:r w:rsidRPr="000600ED">
              <w:rPr>
                <w:rFonts w:asciiTheme="minorEastAsia" w:hAnsiTheme="minorEastAsia" w:hint="eastAsia"/>
                <w:sz w:val="20"/>
                <w:szCs w:val="20"/>
              </w:rPr>
              <w:t>因子を阻害することで、血液が固まる働きを抑えます。心房で血液が固まりやすくなっている状態を改善することで、血栓が血管に詰まって生じる疾患（血栓塞栓症）が起こるのを防ぎます。</w:t>
            </w:r>
          </w:p>
          <w:p w14:paraId="499A062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通常、非弁膜症性心房細動患者における虚血性脳卒中および全身性塞栓症の発症抑制に用いられます。</w:t>
            </w:r>
          </w:p>
        </w:tc>
      </w:tr>
      <w:tr w:rsidR="00D24830" w14:paraId="7C0BB866" w14:textId="77777777" w:rsidTr="003F20F5">
        <w:tc>
          <w:tcPr>
            <w:tcW w:w="9968" w:type="dxa"/>
            <w:gridSpan w:val="2"/>
          </w:tcPr>
          <w:p w14:paraId="46CDCA7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5FDE063C" w14:textId="77777777" w:rsidR="001F4A46"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出血している（頭蓋内出血、消化管出血など）。肝障害、腎障害、急性細菌性心内膜炎がある。出血する危険性が高い（消化管潰瘍発症後または頭蓋内出血発症後日が浅い。脳脊髄や眼の手術後日が浅い。胃潰瘍や十二指腸潰瘍、気管支拡張症または肺出血の既往、脊髄もしくは脳における血管異常、悪性腫瘍、血管性網膜症、コントロールできない高血圧症、出血性疾患、止血障害、凝固障害があるなど）。低体重</w:t>
            </w:r>
          </w:p>
          <w:p w14:paraId="63A20A0E" w14:textId="77777777" w:rsidR="001F4A46"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5A68A84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2DCF49A" w14:textId="77777777" w:rsidTr="003F20F5">
        <w:trPr>
          <w:trHeight w:val="788"/>
        </w:trPr>
        <w:tc>
          <w:tcPr>
            <w:tcW w:w="9968" w:type="dxa"/>
            <w:gridSpan w:val="2"/>
          </w:tcPr>
          <w:p w14:paraId="68AE2BB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7CD1209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DDD2C41" w14:textId="77777777" w:rsidR="001F4A46" w:rsidRDefault="000600ED" w:rsidP="003F20F5">
            <w:pPr>
              <w:ind w:leftChars="100" w:left="410" w:hangingChars="100" w:hanging="200"/>
              <w:jc w:val="left"/>
            </w:pP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回食後に服用します。なお、腎障害がある場合には、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回に減量されます。本剤は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15mg</w:t>
            </w:r>
            <w:r w:rsidRPr="000600ED">
              <w:rPr>
                <w:rFonts w:asciiTheme="minorEastAsia" w:hAnsiTheme="minorEastAsia" w:hint="eastAsia"/>
                <w:sz w:val="20"/>
                <w:szCs w:val="20"/>
              </w:rPr>
              <w:t>を含有します。必ず指示された服用方法に従ってください。</w:t>
            </w:r>
          </w:p>
          <w:p w14:paraId="28F7B852" w14:textId="77777777" w:rsidR="001F4A46" w:rsidRDefault="000600ED" w:rsidP="001456F1">
            <w:pPr>
              <w:ind w:leftChars="100" w:left="410" w:hangingChars="100" w:hanging="200"/>
            </w:pPr>
            <w:r w:rsidRPr="000600ED">
              <w:rPr>
                <w:rFonts w:asciiTheme="minorEastAsia" w:hAnsiTheme="minorEastAsia" w:hint="eastAsia"/>
                <w:sz w:val="20"/>
                <w:szCs w:val="20"/>
              </w:rPr>
              <w:t>・この薬は、舌の上にのせて唾液を含ませると溶けるため、水なしで飲むことが出来ます。また、水で飲むこともできます。</w:t>
            </w:r>
          </w:p>
          <w:p w14:paraId="4266DB42" w14:textId="77777777" w:rsidR="001F4A46" w:rsidRDefault="000600ED" w:rsidP="001456F1">
            <w:pPr>
              <w:ind w:leftChars="100" w:left="410" w:hangingChars="100" w:hanging="200"/>
            </w:pPr>
            <w:r w:rsidRPr="000600ED">
              <w:rPr>
                <w:rFonts w:asciiTheme="minorEastAsia" w:hAnsiTheme="minorEastAsia" w:hint="eastAsia"/>
                <w:sz w:val="20"/>
                <w:szCs w:val="20"/>
              </w:rPr>
              <w:t>・寝たままの状態では、水なしで飲まないでください。</w:t>
            </w:r>
          </w:p>
          <w:p w14:paraId="7EF65906" w14:textId="77777777" w:rsidR="001F4A46" w:rsidRDefault="000600ED" w:rsidP="001456F1">
            <w:pPr>
              <w:ind w:leftChars="100" w:left="410" w:hangingChars="100" w:hanging="200"/>
            </w:pPr>
            <w:r w:rsidRPr="000600ED">
              <w:rPr>
                <w:rFonts w:asciiTheme="minorEastAsia" w:hAnsiTheme="minorEastAsia" w:hint="eastAsia"/>
                <w:sz w:val="20"/>
                <w:szCs w:val="20"/>
              </w:rPr>
              <w:t>・飲み忘れた場合は、気づいた時点ですぐに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回分を飲んでください。ただし、次に飲む時間まで</w:t>
            </w:r>
            <w:r w:rsidRPr="000600ED">
              <w:rPr>
                <w:rFonts w:asciiTheme="minorEastAsia" w:hAnsiTheme="minorEastAsia"/>
                <w:sz w:val="20"/>
                <w:szCs w:val="20"/>
              </w:rPr>
              <w:t>12</w:t>
            </w:r>
            <w:r w:rsidRPr="000600ED">
              <w:rPr>
                <w:rFonts w:asciiTheme="minorEastAsia" w:hAnsiTheme="minorEastAsia" w:hint="eastAsia"/>
                <w:sz w:val="20"/>
                <w:szCs w:val="20"/>
              </w:rPr>
              <w:t>時間以上空けてください。絶対に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4BC24A84" w14:textId="77777777" w:rsidR="001F4A46"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77B1963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035CA484" w14:textId="77777777" w:rsidTr="003F20F5">
        <w:tc>
          <w:tcPr>
            <w:tcW w:w="9968" w:type="dxa"/>
            <w:gridSpan w:val="2"/>
          </w:tcPr>
          <w:p w14:paraId="21A0A75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B417886" w14:textId="77777777" w:rsidR="001F4A46" w:rsidRDefault="000600ED" w:rsidP="003F20F5">
            <w:pPr>
              <w:ind w:leftChars="100" w:left="410" w:hangingChars="100" w:hanging="200"/>
              <w:jc w:val="left"/>
            </w:pPr>
            <w:r w:rsidRPr="000600ED">
              <w:rPr>
                <w:rFonts w:asciiTheme="minorEastAsia" w:hAnsiTheme="minorEastAsia" w:hint="eastAsia"/>
                <w:sz w:val="20"/>
                <w:szCs w:val="20"/>
              </w:rPr>
              <w:t>・歯の治療、内視鏡検査や手術などを受ける場合には、必ず事前にこの薬を服用中であることを医師に伝えてください。他の医療機関で治療を受ける場合や、薬局などで他の薬を購入する場合には、この薬を服用中であることを、医師、薬剤師に伝えてください。</w:t>
            </w:r>
          </w:p>
          <w:p w14:paraId="09B96913" w14:textId="77777777" w:rsidR="001F4A46" w:rsidRDefault="000600ED" w:rsidP="001456F1">
            <w:pPr>
              <w:ind w:leftChars="100" w:left="410" w:hangingChars="100" w:hanging="200"/>
            </w:pPr>
            <w:r w:rsidRPr="000600ED">
              <w:rPr>
                <w:rFonts w:asciiTheme="minorEastAsia" w:hAnsiTheme="minorEastAsia" w:hint="eastAsia"/>
                <w:sz w:val="20"/>
                <w:szCs w:val="20"/>
              </w:rPr>
              <w:t>・この薬を服用中は、けがをしないように注意してください。出血した場合、血が止まりにくくなっています。出血が長引く場合やけがの範囲が大きい場合は、すぐに医師に連絡してください。</w:t>
            </w:r>
          </w:p>
          <w:p w14:paraId="2900C0D1" w14:textId="77777777" w:rsidR="001F4A46" w:rsidRDefault="000600ED" w:rsidP="001456F1">
            <w:pPr>
              <w:ind w:leftChars="100" w:left="410" w:hangingChars="100" w:hanging="200"/>
            </w:pPr>
            <w:r w:rsidRPr="000600ED">
              <w:rPr>
                <w:rFonts w:asciiTheme="minorEastAsia" w:hAnsiTheme="minorEastAsia" w:hint="eastAsia"/>
                <w:sz w:val="20"/>
                <w:szCs w:val="20"/>
              </w:rPr>
              <w:t>・セイヨウオトギリソウ（セント・ジョーンズ・ワート）はこの薬の作用を弱めますので、これを含む食品は控えてください。</w:t>
            </w:r>
          </w:p>
          <w:p w14:paraId="1CF1CD45" w14:textId="77777777" w:rsidR="00D24830" w:rsidRPr="000600ED" w:rsidRDefault="00D24830" w:rsidP="001456F1">
            <w:pPr>
              <w:ind w:leftChars="100" w:left="410" w:hangingChars="100" w:hanging="200"/>
              <w:rPr>
                <w:rFonts w:asciiTheme="minorEastAsia"/>
                <w:sz w:val="20"/>
                <w:szCs w:val="20"/>
              </w:rPr>
            </w:pPr>
          </w:p>
        </w:tc>
      </w:tr>
      <w:tr w:rsidR="00D24830" w14:paraId="06DC3B0B" w14:textId="77777777" w:rsidTr="003F20F5">
        <w:tc>
          <w:tcPr>
            <w:tcW w:w="9968" w:type="dxa"/>
            <w:gridSpan w:val="2"/>
          </w:tcPr>
          <w:p w14:paraId="1420044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B5073E7"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主な副作用として、鼻血、歯肉出血、結膜出血、血尿、貧血、挫傷などが報告されています。このような症状に気づいたら、担当の医師または薬剤師に相談してください。</w:t>
            </w:r>
          </w:p>
          <w:p w14:paraId="487B3E8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B1ACA89"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DD8CF8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・吐き気、嘔吐、頭痛</w:t>
            </w:r>
            <w:r w:rsidRPr="000600ED">
              <w:rPr>
                <w:rFonts w:asciiTheme="minorEastAsia" w:hAnsiTheme="minorEastAsia"/>
                <w:sz w:val="20"/>
                <w:szCs w:val="20"/>
              </w:rPr>
              <w:t xml:space="preserve"> [</w:t>
            </w:r>
            <w:r w:rsidRPr="000600ED">
              <w:rPr>
                <w:rFonts w:asciiTheme="minorEastAsia" w:hAnsiTheme="minorEastAsia" w:hint="eastAsia"/>
                <w:sz w:val="20"/>
                <w:szCs w:val="20"/>
              </w:rPr>
              <w:t>出血（消化管出血、頭蓋内出血など）</w:t>
            </w:r>
            <w:r w:rsidRPr="000600ED">
              <w:rPr>
                <w:rFonts w:asciiTheme="minorEastAsia" w:hAnsiTheme="minorEastAsia"/>
                <w:sz w:val="20"/>
                <w:szCs w:val="20"/>
              </w:rPr>
              <w:t>]</w:t>
            </w:r>
          </w:p>
          <w:p w14:paraId="519E14C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・吐き気、からだがだるい、白目や皮膚が黄色くなる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389012F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・から咳、血の混じった痰、息苦しい、息切れ、発熱</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w:t>
            </w:r>
            <w:r w:rsidRPr="000600ED">
              <w:rPr>
                <w:rFonts w:asciiTheme="minorEastAsia" w:hAnsiTheme="minorEastAsia"/>
                <w:sz w:val="20"/>
                <w:szCs w:val="20"/>
              </w:rPr>
              <w:t>]</w:t>
            </w:r>
          </w:p>
          <w:p w14:paraId="0A34BDE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・鼻血、歯ぐきからの出血、あおあざができやすい、出血が止まりにくい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246588B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・尿量が減る、尿が赤みを帯びる、むくみ、体がだるい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663B2A8C"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4DBCE1CC" w14:textId="77777777" w:rsidTr="003F20F5">
        <w:tc>
          <w:tcPr>
            <w:tcW w:w="9968" w:type="dxa"/>
            <w:gridSpan w:val="2"/>
          </w:tcPr>
          <w:p w14:paraId="49D1C3F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F582364" w14:textId="77777777" w:rsidR="001F4A46" w:rsidRDefault="000600ED" w:rsidP="003F20F5">
            <w:pPr>
              <w:ind w:leftChars="100" w:left="410" w:hangingChars="100" w:hanging="200"/>
              <w:jc w:val="left"/>
            </w:pPr>
            <w:r w:rsidRPr="000600ED">
              <w:rPr>
                <w:rFonts w:asciiTheme="minorEastAsia" w:hAnsiTheme="minorEastAsia" w:hint="eastAsia"/>
                <w:sz w:val="20"/>
                <w:szCs w:val="20"/>
              </w:rPr>
              <w:lastRenderedPageBreak/>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43527770"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AD66EF2" w14:textId="77777777" w:rsidTr="003F20F5">
        <w:tc>
          <w:tcPr>
            <w:tcW w:w="9968" w:type="dxa"/>
            <w:gridSpan w:val="2"/>
          </w:tcPr>
          <w:p w14:paraId="622F2E5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lastRenderedPageBreak/>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711BAA3" w14:textId="77777777" w:rsidR="00D24830" w:rsidRDefault="00D24830" w:rsidP="003F20F5">
            <w:pPr>
              <w:rPr>
                <w:rFonts w:asciiTheme="minorEastAsia"/>
                <w:sz w:val="20"/>
                <w:szCs w:val="20"/>
              </w:rPr>
            </w:pPr>
          </w:p>
          <w:p w14:paraId="0E31E2CC" w14:textId="77777777" w:rsidR="00D24830" w:rsidRPr="007D422F" w:rsidRDefault="00D24830" w:rsidP="003F20F5">
            <w:pPr>
              <w:rPr>
                <w:rFonts w:asciiTheme="majorEastAsia" w:eastAsiaTheme="majorEastAsia" w:hAnsiTheme="majorEastAsia"/>
                <w:sz w:val="20"/>
                <w:szCs w:val="20"/>
              </w:rPr>
            </w:pPr>
          </w:p>
        </w:tc>
      </w:tr>
    </w:tbl>
    <w:p w14:paraId="7F6B14A6" w14:textId="2593E19C" w:rsidR="00A95D8E"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3542E8C0" w14:textId="77777777" w:rsidR="00A95D8E" w:rsidRDefault="00A95D8E">
      <w:pPr>
        <w:widowControl/>
        <w:jc w:val="left"/>
        <w:rPr>
          <w:rFonts w:asciiTheme="minorEastAsia" w:hAnsiTheme="minorEastAsia"/>
          <w:sz w:val="20"/>
          <w:szCs w:val="20"/>
        </w:rPr>
      </w:pPr>
      <w:r>
        <w:rPr>
          <w:rFonts w:asciiTheme="minorEastAsia" w:hAnsiTheme="minorEastAsia"/>
          <w:sz w:val="20"/>
          <w:szCs w:val="20"/>
        </w:rPr>
        <w:br w:type="page"/>
      </w:r>
    </w:p>
    <w:p w14:paraId="62E7E7BD" w14:textId="77777777" w:rsidR="00A95D8E" w:rsidRDefault="00A95D8E" w:rsidP="00A95D8E">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5B21D44" w14:textId="77777777" w:rsidR="00A95D8E" w:rsidRDefault="00A95D8E" w:rsidP="00A95D8E">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4D19B137" w14:textId="77777777" w:rsidR="00A95D8E" w:rsidRPr="00244138" w:rsidRDefault="00A95D8E" w:rsidP="00A95D8E">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12/2024</w:t>
      </w:r>
    </w:p>
    <w:tbl>
      <w:tblPr>
        <w:tblStyle w:val="a3"/>
        <w:tblW w:w="0" w:type="auto"/>
        <w:tblLook w:val="04A0" w:firstRow="1" w:lastRow="0" w:firstColumn="1" w:lastColumn="0" w:noHBand="0" w:noVBand="1"/>
      </w:tblPr>
      <w:tblGrid>
        <w:gridCol w:w="7606"/>
        <w:gridCol w:w="2136"/>
      </w:tblGrid>
      <w:tr w:rsidR="00A95D8E" w14:paraId="217AB096" w14:textId="77777777" w:rsidTr="000F44E9">
        <w:tc>
          <w:tcPr>
            <w:tcW w:w="9968" w:type="dxa"/>
            <w:gridSpan w:val="2"/>
          </w:tcPr>
          <w:p w14:paraId="6DB05A07" w14:textId="77777777" w:rsidR="00A95D8E" w:rsidRPr="00244138" w:rsidRDefault="00A95D8E" w:rsidP="000F44E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A95D8E" w14:paraId="321EE1AB" w14:textId="77777777" w:rsidTr="000F44E9">
        <w:trPr>
          <w:trHeight w:val="1134"/>
        </w:trPr>
        <w:tc>
          <w:tcPr>
            <w:tcW w:w="7849" w:type="dxa"/>
          </w:tcPr>
          <w:p w14:paraId="7AD52FA6" w14:textId="77777777" w:rsidR="00A95D8E" w:rsidRPr="00507AE7" w:rsidRDefault="00A95D8E" w:rsidP="000F44E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Rivaroxaban</w:t>
            </w:r>
            <w:proofErr w:type="spellEnd"/>
            <w:r w:rsidRPr="00507AE7">
              <w:rPr>
                <w:rFonts w:ascii="ＭＳ Ｐゴシック" w:eastAsia="ＭＳ Ｐゴシック" w:hAnsi="ＭＳ Ｐゴシック" w:cs="游ゴシック Light"/>
                <w:b/>
                <w:sz w:val="24"/>
                <w:szCs w:val="24"/>
              </w:rPr>
              <w:t xml:space="preserve"> OD tablets 15mg "TCK" [Prevention of ischemic stroke and systemic embolism in patients with non-valvular atrial fibrillation]</w:t>
            </w:r>
          </w:p>
          <w:p w14:paraId="5F91E63E" w14:textId="77777777" w:rsidR="00A95D8E" w:rsidRPr="00507AE7" w:rsidRDefault="00A95D8E" w:rsidP="000F44E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Rivaroxaban</w:t>
            </w:r>
            <w:proofErr w:type="spellEnd"/>
          </w:p>
          <w:p w14:paraId="7B3ACAF0" w14:textId="77777777" w:rsidR="00A95D8E" w:rsidRPr="00507AE7" w:rsidRDefault="00A95D8E" w:rsidP="000F44E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tablet, diameter: 8.6 mm, thickness: 3.3 mm</w:t>
            </w:r>
          </w:p>
          <w:p w14:paraId="1988410A" w14:textId="77777777" w:rsidR="00A95D8E" w:rsidRPr="00DF5189" w:rsidRDefault="00A95D8E" w:rsidP="000F44E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15mg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OD, 15mg, Rivaroxaban OD 15mg</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リバーロキサバン「</w:t>
            </w:r>
            <w:r w:rsidRPr="00507AE7">
              <w:rPr>
                <w:rFonts w:ascii="ＭＳ Ｐ明朝" w:eastAsia="ＭＳ Ｐ明朝" w:hAnsi="ＭＳ Ｐ明朝"/>
                <w:sz w:val="20"/>
                <w:szCs w:val="20"/>
              </w:rPr>
              <w:t>TCK</w:t>
            </w: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OD</w:t>
            </w:r>
          </w:p>
        </w:tc>
        <w:tc>
          <w:tcPr>
            <w:tcW w:w="2119" w:type="dxa"/>
          </w:tcPr>
          <w:p w14:paraId="1B33ED2F" w14:textId="77777777" w:rsidR="00A95D8E" w:rsidRPr="00244138" w:rsidRDefault="00A95D8E" w:rsidP="000F44E9">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874426B" wp14:editId="0AC0CE8D">
                  <wp:extent cx="1219200" cy="647700"/>
                  <wp:effectExtent l="0" t="0" r="0" b="0"/>
                  <wp:docPr id="1943125465" name="図 1943125465"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125465" name="図 1943125465" descr="背景パター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A95D8E" w14:paraId="632D96A0" w14:textId="77777777" w:rsidTr="000F44E9">
        <w:tc>
          <w:tcPr>
            <w:tcW w:w="9968" w:type="dxa"/>
            <w:gridSpan w:val="2"/>
          </w:tcPr>
          <w:p w14:paraId="65C41C6F"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F83BAD2" w14:textId="77777777" w:rsidR="00A95D8E" w:rsidRDefault="00A95D8E" w:rsidP="000F44E9">
            <w:pPr>
              <w:ind w:leftChars="100" w:left="210"/>
              <w:jc w:val="left"/>
            </w:pPr>
            <w:r w:rsidRPr="00507AE7">
              <w:rPr>
                <w:rFonts w:ascii="ＭＳ Ｐ明朝" w:eastAsia="ＭＳ Ｐ明朝" w:hAnsi="ＭＳ Ｐ明朝"/>
                <w:sz w:val="20"/>
                <w:szCs w:val="20"/>
              </w:rPr>
              <w:t>This medicine inhibits blood coagulation factor Xa to prevent blood clotting. It improves clotting tendency in atrium and prevents a disease caused by blood coagulation in vessels (thromboembolism).</w:t>
            </w:r>
          </w:p>
          <w:p w14:paraId="6BA2E4BA" w14:textId="77777777" w:rsidR="00A95D8E" w:rsidRPr="00507AE7" w:rsidRDefault="00A95D8E" w:rsidP="000F44E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prevent onsets of ischemic stroke and systemic embolism in patients with nonvalvular atrial fibrillation.</w:t>
            </w:r>
          </w:p>
        </w:tc>
      </w:tr>
      <w:tr w:rsidR="00A95D8E" w14:paraId="1781C3DF" w14:textId="77777777" w:rsidTr="000F44E9">
        <w:tc>
          <w:tcPr>
            <w:tcW w:w="9968" w:type="dxa"/>
            <w:gridSpan w:val="2"/>
          </w:tcPr>
          <w:p w14:paraId="66F8570F"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6030B99B"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484D635F" w14:textId="77777777" w:rsidR="00A95D8E" w:rsidRDefault="00A95D8E" w:rsidP="000F44E9">
            <w:pPr>
              <w:ind w:leftChars="150" w:left="315"/>
              <w:jc w:val="left"/>
            </w:pPr>
            <w:r w:rsidRPr="00507AE7">
              <w:rPr>
                <w:rFonts w:ascii="ＭＳ Ｐ明朝" w:eastAsia="ＭＳ Ｐ明朝" w:hAnsi="ＭＳ Ｐ明朝"/>
                <w:sz w:val="20"/>
                <w:szCs w:val="20"/>
              </w:rPr>
              <w:t>If you have bleeding (intracranial bleeding, gastrointestinal bleeding, etc.), liver disorder, renal disorder, acute bacterial endocarditis or low body weight.</w:t>
            </w:r>
          </w:p>
          <w:p w14:paraId="5BEA1B36" w14:textId="77777777" w:rsidR="00A95D8E" w:rsidRDefault="00A95D8E" w:rsidP="000F44E9">
            <w:pPr>
              <w:ind w:leftChars="150" w:left="315"/>
              <w:jc w:val="left"/>
            </w:pPr>
            <w:r w:rsidRPr="00507AE7">
              <w:rPr>
                <w:rFonts w:ascii="ＭＳ Ｐ明朝" w:eastAsia="ＭＳ Ｐ明朝" w:hAnsi="ＭＳ Ｐ明朝"/>
                <w:sz w:val="20"/>
                <w:szCs w:val="20"/>
              </w:rPr>
              <w:t>If you are at high risk of bleeding (If you have recently had gastrointestinal tract ulcer, intracranial bleeding or cerebrospinal/eye surgery. If you have a history of bronchiectasis or lung bleeding. If you have gastric ulcer, duodenal ulcer, spinal or cerebral vascular abnormality, malignant tumor, vascular retinopathy, uncontrolled hypertension, bleeding disorder, hemostatic disorder or coagulation disorder.).</w:t>
            </w:r>
          </w:p>
          <w:p w14:paraId="3F22CF71"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357D0050"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A95D8E" w14:paraId="04358AB8" w14:textId="77777777" w:rsidTr="000F44E9">
        <w:trPr>
          <w:trHeight w:val="740"/>
        </w:trPr>
        <w:tc>
          <w:tcPr>
            <w:tcW w:w="9968" w:type="dxa"/>
            <w:gridSpan w:val="2"/>
          </w:tcPr>
          <w:p w14:paraId="68440E70"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15EAC305" w14:textId="77777777" w:rsidR="00A95D8E" w:rsidRPr="007F7472" w:rsidRDefault="00A95D8E" w:rsidP="000F44E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A48529B"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15 mg of the active ingredient at a time, once a day after meal. If you have renal disorder, the dosage may be decreased to 10 mg at a time, once a day. This preparation contains 15 mg of the active ingredient in a tablet. Strictly follow the instructions.</w:t>
            </w:r>
          </w:p>
          <w:p w14:paraId="7396028F"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this medicine dissolves in saliva when you place it on your tongue, you can take it without water. You can also take it with water.</w:t>
            </w:r>
          </w:p>
          <w:p w14:paraId="5CED2A9F"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take this medicine without water when you are lying down.</w:t>
            </w:r>
          </w:p>
          <w:p w14:paraId="11890D93"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there should be 12 hours or more before the next scheduled dose. You should never take two doses at one time.</w:t>
            </w:r>
          </w:p>
          <w:p w14:paraId="51DA84E3"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4728D30E" w14:textId="77777777" w:rsidR="00A95D8E" w:rsidRPr="00244138" w:rsidRDefault="00A95D8E" w:rsidP="000F44E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A95D8E" w14:paraId="5CCC4109" w14:textId="77777777" w:rsidTr="000F44E9">
        <w:tc>
          <w:tcPr>
            <w:tcW w:w="9968" w:type="dxa"/>
            <w:gridSpan w:val="2"/>
          </w:tcPr>
          <w:p w14:paraId="15176507"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D8B6927"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receiving dental treatment, endoscopic examination or surgery, make sure to inform your doctor in advance that you are taking this medicine. If you are receiving treatment in other medical institutions or buying other medicines at pharmacies, inform your doctor or pharmacist that you are taking this medicine.</w:t>
            </w:r>
          </w:p>
          <w:p w14:paraId="284DCC12"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Pay attention not to get injured because this medicine may lead to prolonged bleeding. If bleeding time is prolonged or the injury involves a large area, immediately contact your doctor.</w:t>
            </w:r>
          </w:p>
          <w:p w14:paraId="4B9A8C48"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Avoid taking any food containing hypericum perforatum (St. John's wort) because it may diminish medicinal effects.</w:t>
            </w:r>
          </w:p>
          <w:p w14:paraId="03047369"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p>
        </w:tc>
      </w:tr>
      <w:tr w:rsidR="00A95D8E" w14:paraId="434B9EAC" w14:textId="77777777" w:rsidTr="000F44E9">
        <w:tc>
          <w:tcPr>
            <w:tcW w:w="9968" w:type="dxa"/>
            <w:gridSpan w:val="2"/>
          </w:tcPr>
          <w:p w14:paraId="22E7D176"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25B6885" w14:textId="77777777" w:rsidR="00A95D8E" w:rsidRPr="00507AE7" w:rsidRDefault="00A95D8E" w:rsidP="000F44E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nasal bleeding, gum bleeding, conjunctival bleeding, bloody urine, anemia and contusion. If any of these symptoms occur, consult with your doctor or pharmacist.</w:t>
            </w:r>
          </w:p>
          <w:p w14:paraId="77C5892F" w14:textId="77777777" w:rsidR="00A95D8E" w:rsidRPr="00244138" w:rsidRDefault="00A95D8E" w:rsidP="000F44E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 xml:space="preserve">The symptoms described below are rarely seen as initial symptoms of the adverse reactions </w:t>
            </w:r>
            <w:r w:rsidRPr="00244138">
              <w:rPr>
                <w:rFonts w:asciiTheme="majorHAnsi" w:eastAsiaTheme="majorEastAsia" w:hAnsiTheme="majorHAnsi" w:cs="游ゴシック Light"/>
                <w:b/>
                <w:sz w:val="20"/>
                <w:szCs w:val="20"/>
              </w:rPr>
              <w:lastRenderedPageBreak/>
              <w:t>indicated in brackets. If any of these symptoms occur, stop taking this medicine and see your doctor immediately.</w:t>
            </w:r>
          </w:p>
          <w:p w14:paraId="702CCC3A"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vomiting, headache [bleeding (gastrointestinal bleeding, intracranial bleeding, etc.)]</w:t>
            </w:r>
          </w:p>
          <w:p w14:paraId="01A3CC87"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nausea, general malaise, yellowing of the white of eyes or skin [liver dysfunction, jaundice]</w:t>
            </w:r>
          </w:p>
          <w:p w14:paraId="03EA0979"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dry cough, bloody phlegm, breathing difficulty, shortness of breath, fever [interstitial lung disease]</w:t>
            </w:r>
          </w:p>
          <w:p w14:paraId="447A23CD"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nasal bleeding, gum bleeding, prone to bruising, prolonged bleeding [decreased platelets]</w:t>
            </w:r>
          </w:p>
          <w:p w14:paraId="1CBC4154"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decreased urine output, red urine, edema, body dullness [acute renal disorder]</w:t>
            </w:r>
          </w:p>
          <w:p w14:paraId="7D230389" w14:textId="77777777" w:rsidR="00A95D8E" w:rsidRPr="00244138" w:rsidRDefault="00A95D8E" w:rsidP="000F44E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A95D8E" w14:paraId="1A7039B6" w14:textId="77777777" w:rsidTr="000F44E9">
        <w:tc>
          <w:tcPr>
            <w:tcW w:w="9968" w:type="dxa"/>
            <w:gridSpan w:val="2"/>
          </w:tcPr>
          <w:p w14:paraId="471308B9" w14:textId="77777777" w:rsidR="00A95D8E" w:rsidRPr="00244138" w:rsidRDefault="00A95D8E" w:rsidP="000F44E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40426BB0" w14:textId="77777777" w:rsidR="00A95D8E" w:rsidRDefault="00A95D8E" w:rsidP="000F44E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4F2A078B" w14:textId="77777777" w:rsidR="00A95D8E" w:rsidRPr="00507AE7" w:rsidRDefault="00A95D8E" w:rsidP="000F44E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A95D8E" w14:paraId="63E8ECC0" w14:textId="77777777" w:rsidTr="000F44E9">
        <w:tc>
          <w:tcPr>
            <w:tcW w:w="9968" w:type="dxa"/>
            <w:gridSpan w:val="2"/>
          </w:tcPr>
          <w:p w14:paraId="5E62C944" w14:textId="77777777" w:rsidR="00A95D8E" w:rsidRDefault="00A95D8E" w:rsidP="000F44E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0ED020DB" w14:textId="77777777" w:rsidR="00A95D8E" w:rsidRDefault="00A95D8E" w:rsidP="000F44E9">
            <w:pPr>
              <w:rPr>
                <w:rFonts w:asciiTheme="minorEastAsia"/>
                <w:sz w:val="20"/>
                <w:szCs w:val="20"/>
              </w:rPr>
            </w:pPr>
          </w:p>
          <w:p w14:paraId="61891B4B" w14:textId="77777777" w:rsidR="00A95D8E" w:rsidRPr="007D422F" w:rsidRDefault="00A95D8E" w:rsidP="000F44E9">
            <w:pPr>
              <w:rPr>
                <w:rFonts w:asciiTheme="majorEastAsia" w:eastAsiaTheme="majorEastAsia" w:hAnsiTheme="majorEastAsia"/>
                <w:sz w:val="20"/>
                <w:szCs w:val="20"/>
              </w:rPr>
            </w:pPr>
          </w:p>
        </w:tc>
      </w:tr>
    </w:tbl>
    <w:p w14:paraId="79CF8027" w14:textId="77777777" w:rsidR="00A95D8E" w:rsidRPr="00DB2351" w:rsidRDefault="00A95D8E" w:rsidP="00A95D8E">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1A9AE63" w14:textId="77777777" w:rsidR="007D422F" w:rsidRPr="00A95D8E" w:rsidRDefault="007D422F" w:rsidP="00D24830">
      <w:pPr>
        <w:jc w:val="left"/>
      </w:pPr>
    </w:p>
    <w:sectPr w:rsidR="007D422F" w:rsidRPr="00A95D8E"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69EF7" w14:textId="77777777" w:rsidR="005676BB" w:rsidRDefault="005676BB" w:rsidP="005676BB">
      <w:r>
        <w:separator/>
      </w:r>
    </w:p>
  </w:endnote>
  <w:endnote w:type="continuationSeparator" w:id="0">
    <w:p w14:paraId="32B53C7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300C"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0279" w14:textId="77777777" w:rsidR="005676BB" w:rsidRDefault="005676BB" w:rsidP="005676BB">
      <w:r>
        <w:separator/>
      </w:r>
    </w:p>
  </w:footnote>
  <w:footnote w:type="continuationSeparator" w:id="0">
    <w:p w14:paraId="7ED7568D"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1F4A46"/>
    <w:rsid w:val="002209A5"/>
    <w:rsid w:val="002376F2"/>
    <w:rsid w:val="002A4A81"/>
    <w:rsid w:val="003071A2"/>
    <w:rsid w:val="003333EC"/>
    <w:rsid w:val="003F20F5"/>
    <w:rsid w:val="00547602"/>
    <w:rsid w:val="005676BB"/>
    <w:rsid w:val="006715B4"/>
    <w:rsid w:val="006A40B0"/>
    <w:rsid w:val="00764B98"/>
    <w:rsid w:val="007B113F"/>
    <w:rsid w:val="007D422F"/>
    <w:rsid w:val="008B2922"/>
    <w:rsid w:val="009166E6"/>
    <w:rsid w:val="00A31947"/>
    <w:rsid w:val="00A95D8E"/>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3C24CF"/>
  <w14:defaultImageDpi w14:val="0"/>
  <w15:docId w15:val="{82F28E3F-CF4C-4E41-BA65-ACC58745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2886</Words>
  <Characters>4819</Characters>
  <Application>Microsoft Office Word</Application>
  <DocSecurity>0</DocSecurity>
  <Lines>40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リバーロキサバンOD錠15mg「TCK」_くすりのしおり</dc:title>
  <dc:subject/>
  <cp:keywords/>
  <dc:description/>
  <cp:revision>3</cp:revision>
  <dcterms:created xsi:type="dcterms:W3CDTF">2024-12-06T00:44:00Z</dcterms:created>
  <dcterms:modified xsi:type="dcterms:W3CDTF">2024-12-13T08:03:00Z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2024-12-13T08:03:15Z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08478a5a-e77f-45ff-aa1c-cd06c7196ed3</vt:lpwstr>
  </property>
  <property fmtid="{D5CDD505-2E9C-101B-9397-08002B2CF9AE}" pid="8" name="MSIP_Label_916e9513-bdae-4ef2-aa87-1aa569934746_ContentBits">
    <vt:lpwstr>0</vt:lpwstr>
  </property>
</Properties>
</file>