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2020</w:t>
      </w:r>
      <w:r w:rsidRPr="007D422F">
        <w:rPr>
          <w:rFonts w:asciiTheme="minorEastAsia" w:hAnsiTheme="minorEastAsia" w:hint="eastAsia"/>
          <w:sz w:val="20"/>
          <w:szCs w:val="20"/>
        </w:rPr>
        <w:t>年</w:t>
      </w:r>
      <w:r w:rsidRPr="007D422F">
        <w:rPr>
          <w:rFonts w:asciiTheme="minorEastAsia" w:hAnsiTheme="minorEastAsia"/>
          <w:sz w:val="20"/>
          <w:szCs w:val="20"/>
        </w:rPr>
        <w:t>06</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rsidTr="003F20F5">
        <w:tc>
          <w:tcPr>
            <w:tcW w:w="9968" w:type="dxa"/>
            <w:gridSpan w:val="2"/>
          </w:tcPr>
          <w:p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rsidTr="009166E6">
        <w:trPr>
          <w:trHeight w:val="1134"/>
        </w:trPr>
        <w:tc>
          <w:tcPr>
            <w:tcW w:w="7807" w:type="dxa"/>
          </w:tcPr>
          <w:p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商品名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オルメサルタン錠</w:t>
            </w:r>
            <w:r w:rsidRPr="000600ED">
              <w:rPr>
                <w:rFonts w:asciiTheme="majorEastAsia" w:eastAsiaTheme="majorEastAsia" w:hAnsiTheme="majorEastAsia"/>
                <w:b/>
                <w:sz w:val="24"/>
                <w:szCs w:val="24"/>
              </w:rPr>
              <w:t>20mg</w:t>
            </w:r>
            <w:r w:rsidRPr="000600ED">
              <w:rPr>
                <w:rFonts w:asciiTheme="majorEastAsia" w:eastAsiaTheme="majorEastAsia" w:hAnsiTheme="majorEastAsia" w:hint="eastAsia"/>
                <w:b/>
                <w:sz w:val="24"/>
                <w:szCs w:val="24"/>
              </w:rPr>
              <w:t>「ケミファ」</w:t>
            </w:r>
          </w:p>
          <w:p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オルメサルタン　メドキソミル</w:t>
            </w:r>
            <w:r w:rsidRPr="000600ED">
              <w:rPr>
                <w:rFonts w:asciiTheme="minorEastAsia" w:hAnsiTheme="minorEastAsia"/>
                <w:sz w:val="20"/>
                <w:szCs w:val="20"/>
              </w:rPr>
              <w:t xml:space="preserve">(Olmesartan </w:t>
            </w:r>
            <w:proofErr w:type="spellStart"/>
            <w:r w:rsidRPr="000600ED">
              <w:rPr>
                <w:rFonts w:asciiTheme="minorEastAsia" w:hAnsiTheme="minorEastAsia"/>
                <w:sz w:val="20"/>
                <w:szCs w:val="20"/>
              </w:rPr>
              <w:t>medoxomil</w:t>
            </w:r>
            <w:proofErr w:type="spellEnd"/>
            <w:r w:rsidRPr="000600ED">
              <w:rPr>
                <w:rFonts w:asciiTheme="minorEastAsia" w:hAnsiTheme="minorEastAsia"/>
                <w:sz w:val="20"/>
                <w:szCs w:val="20"/>
              </w:rPr>
              <w:t>)</w:t>
            </w:r>
          </w:p>
          <w:p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白色割線入りの錠剤、直径</w:t>
            </w:r>
            <w:r w:rsidRPr="000600ED">
              <w:rPr>
                <w:rFonts w:asciiTheme="minorEastAsia" w:hAnsiTheme="minorEastAsia"/>
                <w:sz w:val="20"/>
                <w:szCs w:val="20"/>
              </w:rPr>
              <w:t>8.0mm</w:t>
            </w:r>
            <w:r w:rsidRPr="000600ED">
              <w:rPr>
                <w:rFonts w:asciiTheme="minorEastAsia" w:hAnsiTheme="minorEastAsia" w:hint="eastAsia"/>
                <w:sz w:val="20"/>
                <w:szCs w:val="20"/>
              </w:rPr>
              <w:t>、厚さ</w:t>
            </w:r>
            <w:r w:rsidRPr="000600ED">
              <w:rPr>
                <w:rFonts w:asciiTheme="minorEastAsia" w:hAnsiTheme="minorEastAsia"/>
                <w:sz w:val="20"/>
                <w:szCs w:val="20"/>
              </w:rPr>
              <w:t>2.5mm</w:t>
            </w:r>
          </w:p>
          <w:p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オルメサルタン錠</w:t>
            </w:r>
            <w:r w:rsidR="000600ED" w:rsidRPr="000600ED">
              <w:rPr>
                <w:rFonts w:asciiTheme="minorEastAsia" w:hAnsiTheme="minorEastAsia"/>
                <w:sz w:val="20"/>
                <w:szCs w:val="20"/>
              </w:rPr>
              <w:t>20mg</w:t>
            </w:r>
            <w:r w:rsidR="000600ED" w:rsidRPr="000600ED">
              <w:rPr>
                <w:rFonts w:asciiTheme="minorEastAsia" w:hAnsiTheme="minorEastAsia" w:hint="eastAsia"/>
                <w:sz w:val="20"/>
                <w:szCs w:val="20"/>
              </w:rPr>
              <w:t>「ケミファ」、血圧降下剤、</w:t>
            </w:r>
            <w:r w:rsidR="000600ED" w:rsidRPr="000600ED">
              <w:rPr>
                <w:rFonts w:asciiTheme="minorEastAsia" w:hAnsiTheme="minorEastAsia"/>
                <w:sz w:val="20"/>
                <w:szCs w:val="20"/>
              </w:rPr>
              <w:t>Olmesartan 20mg</w:t>
            </w:r>
            <w:r w:rsidR="000600ED" w:rsidRPr="000600ED">
              <w:rPr>
                <w:rFonts w:asciiTheme="minorEastAsia" w:hAnsiTheme="minorEastAsia" w:hint="eastAsia"/>
                <w:sz w:val="20"/>
                <w:szCs w:val="20"/>
              </w:rPr>
              <w:t>、オルメサルタン</w:t>
            </w:r>
            <w:r w:rsidR="000600ED" w:rsidRPr="000600ED">
              <w:rPr>
                <w:rFonts w:asciiTheme="minorEastAsia" w:hAnsiTheme="minorEastAsia"/>
                <w:sz w:val="20"/>
                <w:szCs w:val="20"/>
              </w:rPr>
              <w:t>20</w:t>
            </w:r>
            <w:r w:rsidR="000600ED" w:rsidRPr="000600ED">
              <w:rPr>
                <w:rFonts w:asciiTheme="minorEastAsia" w:hAnsiTheme="minorEastAsia" w:hint="eastAsia"/>
                <w:sz w:val="20"/>
                <w:szCs w:val="20"/>
              </w:rPr>
              <w:t>「ケミファ」</w:t>
            </w:r>
          </w:p>
        </w:tc>
        <w:tc>
          <w:tcPr>
            <w:tcW w:w="2161" w:type="dxa"/>
          </w:tcPr>
          <w:p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rsidR="008901E6" w:rsidRDefault="000600ED" w:rsidP="003F20F5">
            <w:pPr>
              <w:ind w:leftChars="100" w:left="210"/>
              <w:jc w:val="left"/>
            </w:pPr>
            <w:r w:rsidRPr="000600ED">
              <w:rPr>
                <w:rFonts w:asciiTheme="minorEastAsia" w:hAnsiTheme="minorEastAsia" w:hint="eastAsia"/>
                <w:sz w:val="20"/>
                <w:szCs w:val="20"/>
              </w:rPr>
              <w:t>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タイプ</w:t>
            </w:r>
            <w:r w:rsidRPr="000600ED">
              <w:rPr>
                <w:rFonts w:asciiTheme="minorEastAsia" w:hAnsiTheme="minorEastAsia"/>
                <w:sz w:val="20"/>
                <w:szCs w:val="20"/>
              </w:rPr>
              <w:t>1</w:t>
            </w:r>
            <w:r w:rsidRPr="000600ED">
              <w:rPr>
                <w:rFonts w:asciiTheme="minorEastAsia" w:hAnsiTheme="minorEastAsia" w:hint="eastAsia"/>
                <w:sz w:val="20"/>
                <w:szCs w:val="20"/>
              </w:rPr>
              <w:t>受容体に選択的に作用して、アンジオテンシン</w:t>
            </w:r>
            <w:r w:rsidRPr="000600ED">
              <w:rPr>
                <w:rFonts w:asciiTheme="minorEastAsia" w:hAnsiTheme="minorEastAsia"/>
                <w:sz w:val="20"/>
                <w:szCs w:val="20"/>
              </w:rPr>
              <w:t>II</w:t>
            </w:r>
            <w:r w:rsidRPr="000600ED">
              <w:rPr>
                <w:rFonts w:asciiTheme="minorEastAsia" w:hAnsiTheme="minorEastAsia" w:hint="eastAsia"/>
                <w:sz w:val="20"/>
                <w:szCs w:val="20"/>
              </w:rPr>
              <w:t>の結合を競合的に阻害して、血圧を低下させます。</w:t>
            </w:r>
            <w:bookmarkStart w:id="0" w:name="_GoBack"/>
            <w:bookmarkEnd w:id="0"/>
          </w:p>
          <w:p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次のような方は使う前に必ず担当の医師と薬剤師に伝えてください。</w:t>
            </w:r>
          </w:p>
          <w:p w:rsidR="008901E6" w:rsidRDefault="000600ED" w:rsidP="003F20F5">
            <w:pPr>
              <w:ind w:leftChars="100" w:left="410" w:hangingChars="100" w:hanging="200"/>
              <w:jc w:val="left"/>
            </w:pPr>
            <w:r w:rsidRPr="000600ED">
              <w:rPr>
                <w:rFonts w:asciiTheme="minorEastAsia" w:hAnsiTheme="minorEastAsia" w:hint="eastAsia"/>
                <w:sz w:val="20"/>
                <w:szCs w:val="20"/>
              </w:rPr>
              <w:t>・以前に薬を使用して、かゆみ、発疹などのアレルギー症状が出たことがある。</w:t>
            </w:r>
          </w:p>
          <w:p w:rsidR="008901E6" w:rsidRDefault="000600ED" w:rsidP="001456F1">
            <w:pPr>
              <w:ind w:leftChars="100" w:left="410" w:hangingChars="100" w:hanging="200"/>
            </w:pPr>
            <w:r w:rsidRPr="000600ED">
              <w:rPr>
                <w:rFonts w:asciiTheme="minorEastAsia" w:hAnsiTheme="minorEastAsia" w:hint="eastAsia"/>
                <w:sz w:val="20"/>
                <w:szCs w:val="20"/>
              </w:rPr>
              <w:t>・妊娠または授乳中、妊娠している可能性がある</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rsidTr="003F20F5">
        <w:trPr>
          <w:trHeight w:val="788"/>
        </w:trPr>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rsidR="008901E6"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回主成分として</w:t>
            </w:r>
            <w:r w:rsidRPr="000600ED">
              <w:rPr>
                <w:rFonts w:asciiTheme="minorEastAsia" w:hAnsiTheme="minorEastAsia"/>
                <w:sz w:val="20"/>
                <w:szCs w:val="20"/>
              </w:rPr>
              <w:t>10</w:t>
            </w:r>
            <w:r w:rsidRPr="000600ED">
              <w:rPr>
                <w:rFonts w:asciiTheme="minorEastAsia" w:hAnsiTheme="minorEastAsia" w:hint="eastAsia"/>
                <w:sz w:val="20"/>
                <w:szCs w:val="20"/>
              </w:rPr>
              <w:t>～</w:t>
            </w:r>
            <w:r w:rsidRPr="000600ED">
              <w:rPr>
                <w:rFonts w:asciiTheme="minorEastAsia" w:hAnsiTheme="minorEastAsia"/>
                <w:sz w:val="20"/>
                <w:szCs w:val="20"/>
              </w:rPr>
              <w:t>20mg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回服用します。</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5</w:t>
            </w:r>
            <w:r w:rsidRPr="000600ED">
              <w:rPr>
                <w:rFonts w:asciiTheme="minorEastAsia" w:hAnsiTheme="minorEastAsia" w:hint="eastAsia"/>
                <w:sz w:val="20"/>
                <w:szCs w:val="20"/>
              </w:rPr>
              <w:t>～</w:t>
            </w:r>
            <w:r w:rsidRPr="000600ED">
              <w:rPr>
                <w:rFonts w:asciiTheme="minorEastAsia" w:hAnsiTheme="minorEastAsia"/>
                <w:sz w:val="20"/>
                <w:szCs w:val="20"/>
              </w:rPr>
              <w:t>10mg</w:t>
            </w:r>
            <w:r w:rsidRPr="000600ED">
              <w:rPr>
                <w:rFonts w:asciiTheme="minorEastAsia" w:hAnsiTheme="minorEastAsia" w:hint="eastAsia"/>
                <w:sz w:val="20"/>
                <w:szCs w:val="20"/>
              </w:rPr>
              <w:t>から服用が開始され、年齢・症状により適宜増減されますが、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日最大量は</w:t>
            </w:r>
            <w:r w:rsidRPr="000600ED">
              <w:rPr>
                <w:rFonts w:asciiTheme="minorEastAsia" w:hAnsiTheme="minorEastAsia"/>
                <w:sz w:val="20"/>
                <w:szCs w:val="20"/>
              </w:rPr>
              <w:t>40mg</w:t>
            </w:r>
            <w:r w:rsidRPr="000600ED">
              <w:rPr>
                <w:rFonts w:asciiTheme="minorEastAsia" w:hAnsiTheme="minorEastAsia" w:hint="eastAsia"/>
                <w:sz w:val="20"/>
                <w:szCs w:val="20"/>
              </w:rPr>
              <w:t>までとされています。本剤は</w:t>
            </w:r>
            <w:r w:rsidRPr="000600ED">
              <w:rPr>
                <w:rFonts w:asciiTheme="minorEastAsia" w:hAnsiTheme="minorEastAsia"/>
                <w:sz w:val="20"/>
                <w:szCs w:val="20"/>
              </w:rPr>
              <w:t>1</w:t>
            </w:r>
            <w:r w:rsidRPr="000600ED">
              <w:rPr>
                <w:rFonts w:asciiTheme="minorEastAsia" w:hAnsiTheme="minorEastAsia" w:hint="eastAsia"/>
                <w:sz w:val="20"/>
                <w:szCs w:val="20"/>
              </w:rPr>
              <w:t>錠中に主成分を</w:t>
            </w:r>
            <w:r w:rsidRPr="000600ED">
              <w:rPr>
                <w:rFonts w:asciiTheme="minorEastAsia" w:hAnsiTheme="minorEastAsia"/>
                <w:sz w:val="20"/>
                <w:szCs w:val="20"/>
              </w:rPr>
              <w:t>20mg</w:t>
            </w:r>
            <w:r w:rsidRPr="000600ED">
              <w:rPr>
                <w:rFonts w:asciiTheme="minorEastAsia" w:hAnsiTheme="minorEastAsia" w:hint="eastAsia"/>
                <w:sz w:val="20"/>
                <w:szCs w:val="20"/>
              </w:rPr>
              <w:t>含有します。必ず指示された服用方法に従ってください。</w:t>
            </w:r>
          </w:p>
          <w:p w:rsidR="008901E6" w:rsidRDefault="000600ED" w:rsidP="001456F1">
            <w:pPr>
              <w:ind w:leftChars="100" w:left="410" w:hangingChars="100" w:hanging="200"/>
            </w:pPr>
            <w:r w:rsidRPr="000600ED">
              <w:rPr>
                <w:rFonts w:asciiTheme="minorEastAsia" w:hAnsiTheme="minorEastAsia" w:hint="eastAsia"/>
                <w:sz w:val="20"/>
                <w:szCs w:val="20"/>
              </w:rPr>
              <w:t>・飲み忘れた場合は、気がついた時点で</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回分を飲んでください。ただし、次の飲む時間が近い場合は、忘れた分を飲まないで、次の飲む時間に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rsidR="008901E6"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・医師の指示なしに、自分の判断で飲むのを止めないでください。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rsidR="008901E6" w:rsidRDefault="000600ED" w:rsidP="003F20F5">
            <w:pPr>
              <w:ind w:leftChars="100" w:left="410" w:hangingChars="100" w:hanging="200"/>
              <w:jc w:val="left"/>
            </w:pPr>
            <w:r w:rsidRPr="000600ED">
              <w:rPr>
                <w:rFonts w:asciiTheme="minorEastAsia" w:hAnsiTheme="minorEastAsia" w:hint="eastAsia"/>
                <w:sz w:val="20"/>
                <w:szCs w:val="20"/>
              </w:rPr>
              <w:t>・血圧が下がることによって、めまい、ふらつきがあらわれることがありますので、高所での作業、自動車の運転など、危険を伴う機械の操作には注意してください。</w:t>
            </w:r>
          </w:p>
          <w:p w:rsidR="00D24830" w:rsidRPr="000600ED" w:rsidRDefault="00D24830" w:rsidP="003F20F5">
            <w:pPr>
              <w:ind w:leftChars="100" w:left="410" w:hangingChars="100" w:hanging="200"/>
              <w:jc w:val="left"/>
              <w:rPr>
                <w:rFonts w:asciiTheme="minorEastAsia"/>
                <w:sz w:val="20"/>
                <w:szCs w:val="20"/>
              </w:rPr>
            </w:pP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主な副作用として、頭重感、めまい、立ちくらみ、ふらつき、咳、眠気などが報告されています。このような症状に気づいたら、担当の医師または薬剤師に相談してください。</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・呼吸困難、まぶた・唇・舌の腫れ、蕁麻疹</w:t>
            </w:r>
            <w:r w:rsidRPr="000600ED">
              <w:rPr>
                <w:rFonts w:asciiTheme="minorEastAsia" w:hAnsiTheme="minorEastAsia"/>
                <w:sz w:val="20"/>
                <w:szCs w:val="20"/>
              </w:rPr>
              <w:t xml:space="preserve"> [</w:t>
            </w:r>
            <w:r w:rsidRPr="000600ED">
              <w:rPr>
                <w:rFonts w:asciiTheme="minorEastAsia" w:hAnsiTheme="minorEastAsia" w:hint="eastAsia"/>
                <w:sz w:val="20"/>
                <w:szCs w:val="20"/>
              </w:rPr>
              <w:t>血管浮腫</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・尿量減少、むくみ、頭痛</w:t>
            </w:r>
            <w:r w:rsidRPr="000600ED">
              <w:rPr>
                <w:rFonts w:asciiTheme="minorEastAsia" w:hAnsiTheme="minorEastAsia"/>
                <w:sz w:val="20"/>
                <w:szCs w:val="20"/>
              </w:rPr>
              <w:t xml:space="preserve"> [</w:t>
            </w:r>
            <w:r w:rsidRPr="000600ED">
              <w:rPr>
                <w:rFonts w:asciiTheme="minorEastAsia" w:hAnsiTheme="minorEastAsia" w:hint="eastAsia"/>
                <w:sz w:val="20"/>
                <w:szCs w:val="20"/>
              </w:rPr>
              <w:t>腎不全</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・手足や唇のしびれ、筋力の減退、手足の麻痺</w:t>
            </w:r>
            <w:r w:rsidRPr="000600ED">
              <w:rPr>
                <w:rFonts w:asciiTheme="minorEastAsia" w:hAnsiTheme="minorEastAsia"/>
                <w:sz w:val="20"/>
                <w:szCs w:val="20"/>
              </w:rPr>
              <w:t xml:space="preserve"> [</w:t>
            </w:r>
            <w:r w:rsidRPr="000600ED">
              <w:rPr>
                <w:rFonts w:asciiTheme="minorEastAsia" w:hAnsiTheme="minorEastAsia" w:hint="eastAsia"/>
                <w:sz w:val="20"/>
                <w:szCs w:val="20"/>
              </w:rPr>
              <w:t>高カリウム血症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・冷感、嘔吐、気を失う、意識がなくなる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ショック、失神、意識消失</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・全身倦怠感、食欲不振、皮膚や白目が黄色くなる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肝機能障害、黄疸</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・鼻血、歯ぐきの出血、皮下出血</w:t>
            </w:r>
            <w:r w:rsidRPr="000600ED">
              <w:rPr>
                <w:rFonts w:asciiTheme="minorEastAsia" w:hAnsiTheme="minorEastAsia"/>
                <w:sz w:val="20"/>
                <w:szCs w:val="20"/>
              </w:rPr>
              <w:t xml:space="preserve"> [</w:t>
            </w:r>
            <w:r w:rsidRPr="000600ED">
              <w:rPr>
                <w:rFonts w:asciiTheme="minorEastAsia" w:hAnsiTheme="minorEastAsia" w:hint="eastAsia"/>
                <w:sz w:val="20"/>
                <w:szCs w:val="20"/>
              </w:rPr>
              <w:t>血小板減少</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・発汗、動悸、脱力感</w:t>
            </w:r>
            <w:r w:rsidRPr="000600ED">
              <w:rPr>
                <w:rFonts w:asciiTheme="minorEastAsia" w:hAnsiTheme="minorEastAsia"/>
                <w:sz w:val="20"/>
                <w:szCs w:val="20"/>
              </w:rPr>
              <w:t xml:space="preserve"> [</w:t>
            </w:r>
            <w:r w:rsidRPr="000600ED">
              <w:rPr>
                <w:rFonts w:asciiTheme="minorEastAsia" w:hAnsiTheme="minorEastAsia" w:hint="eastAsia"/>
                <w:sz w:val="20"/>
                <w:szCs w:val="20"/>
              </w:rPr>
              <w:t>低血糖</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・筋肉の痛み、脱力感、赤褐色の尿</w:t>
            </w:r>
            <w:r w:rsidRPr="000600ED">
              <w:rPr>
                <w:rFonts w:asciiTheme="minorEastAsia" w:hAnsiTheme="minorEastAsia"/>
                <w:sz w:val="20"/>
                <w:szCs w:val="20"/>
              </w:rPr>
              <w:t xml:space="preserve"> [</w:t>
            </w:r>
            <w:r w:rsidRPr="000600ED">
              <w:rPr>
                <w:rFonts w:asciiTheme="minorEastAsia" w:hAnsiTheme="minorEastAsia" w:hint="eastAsia"/>
                <w:sz w:val="20"/>
                <w:szCs w:val="20"/>
              </w:rPr>
              <w:t>横紋筋融解症</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・そう痒感、全身発赤、血圧低下、意識の低下、動悸</w:t>
            </w:r>
            <w:r w:rsidRPr="000600ED">
              <w:rPr>
                <w:rFonts w:asciiTheme="minorEastAsia" w:hAnsiTheme="minorEastAsia"/>
                <w:sz w:val="20"/>
                <w:szCs w:val="20"/>
              </w:rPr>
              <w:t xml:space="preserve"> [</w:t>
            </w:r>
            <w:r w:rsidRPr="000600ED">
              <w:rPr>
                <w:rFonts w:asciiTheme="minorEastAsia" w:hAnsiTheme="minorEastAsia" w:hint="eastAsia"/>
                <w:sz w:val="20"/>
                <w:szCs w:val="20"/>
              </w:rPr>
              <w:t>アナフィラキシー</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・吐き気、激しい腹痛、水のような便</w:t>
            </w:r>
            <w:r w:rsidRPr="000600ED">
              <w:rPr>
                <w:rFonts w:asciiTheme="minorEastAsia" w:hAnsiTheme="minorEastAsia"/>
                <w:sz w:val="20"/>
                <w:szCs w:val="20"/>
              </w:rPr>
              <w:t xml:space="preserve"> [</w:t>
            </w:r>
            <w:r w:rsidRPr="000600ED">
              <w:rPr>
                <w:rFonts w:asciiTheme="minorEastAsia" w:hAnsiTheme="minorEastAsia" w:hint="eastAsia"/>
                <w:sz w:val="20"/>
                <w:szCs w:val="20"/>
              </w:rPr>
              <w:t>重度の下痢</w:t>
            </w:r>
            <w:r w:rsidRPr="000600ED">
              <w:rPr>
                <w:rFonts w:asciiTheme="minorEastAsia" w:hAnsiTheme="minorEastAsia"/>
                <w:sz w:val="20"/>
                <w:szCs w:val="20"/>
              </w:rPr>
              <w:t>]</w:t>
            </w:r>
          </w:p>
          <w:p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・発熱、から咳、呼吸困難、息切れ</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間質性肺炎</w:t>
            </w:r>
            <w:r w:rsidRPr="000600ED">
              <w:rPr>
                <w:rFonts w:asciiTheme="minorEastAsia" w:hAnsiTheme="minorEastAsia"/>
                <w:sz w:val="20"/>
                <w:szCs w:val="20"/>
              </w:rPr>
              <w:t>]</w:t>
            </w:r>
          </w:p>
          <w:p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rsidTr="003F20F5">
        <w:tc>
          <w:tcPr>
            <w:tcW w:w="9968" w:type="dxa"/>
            <w:gridSpan w:val="2"/>
          </w:tcPr>
          <w:p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rsidR="008901E6"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w:t>
            </w:r>
          </w:p>
        </w:tc>
      </w:tr>
      <w:tr w:rsidR="00D24830" w:rsidTr="003F20F5">
        <w:tc>
          <w:tcPr>
            <w:tcW w:w="9968" w:type="dxa"/>
            <w:gridSpan w:val="2"/>
          </w:tcPr>
          <w:p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rsidR="00D24830" w:rsidRDefault="00D24830" w:rsidP="003F20F5">
            <w:pPr>
              <w:rPr>
                <w:rFonts w:asciiTheme="minorEastAsia"/>
                <w:sz w:val="20"/>
                <w:szCs w:val="20"/>
              </w:rPr>
            </w:pPr>
          </w:p>
          <w:p w:rsidR="00D24830" w:rsidRPr="007D422F" w:rsidRDefault="00D24830" w:rsidP="003F20F5">
            <w:pPr>
              <w:rPr>
                <w:rFonts w:asciiTheme="majorEastAsia" w:eastAsiaTheme="majorEastAsia" w:hAnsiTheme="majorEastAsia"/>
                <w:sz w:val="20"/>
                <w:szCs w:val="20"/>
              </w:rPr>
            </w:pPr>
          </w:p>
        </w:tc>
      </w:tr>
    </w:tbl>
    <w:p w:rsidR="007D422F" w:rsidRPr="003071A2" w:rsidRDefault="00D24830" w:rsidP="00D24830">
      <w:pPr>
        <w:jc w:val="left"/>
      </w:pPr>
      <w:r w:rsidRPr="000600ED">
        <w:rPr>
          <w:rFonts w:asciiTheme="minorEastAsia" w:hAnsiTheme="minorEastAsia" w:hint="eastAsia"/>
          <w:sz w:val="20"/>
          <w:szCs w:val="20"/>
        </w:rPr>
        <w:t>より詳細な情報を望まれる場合は、担当の医師または薬剤師におたずねください。また、医療専門家向けの</w:t>
      </w:r>
      <w:r w:rsidRPr="000600ED">
        <w:rPr>
          <w:rFonts w:asciiTheme="minorEastAsia" w:hAnsiTheme="minorEastAsia" w:hint="eastAsia"/>
          <w:sz w:val="20"/>
          <w:szCs w:val="20"/>
        </w:rPr>
        <w:lastRenderedPageBreak/>
        <w:t>「添付文書情報」が医薬品医療機器総合機構のホームページに掲載されています。</w:t>
      </w:r>
    </w:p>
    <w:sectPr w:rsidR="007D422F" w:rsidRPr="003071A2"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4736" w:rsidRDefault="00394736" w:rsidP="005676BB">
      <w:r>
        <w:separator/>
      </w:r>
    </w:p>
  </w:endnote>
  <w:endnote w:type="continuationSeparator" w:id="0">
    <w:p w:rsidR="00394736" w:rsidRDefault="00394736"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w:t>
    </w:r>
    <w:r>
      <w:rPr>
        <w:lang w:val="ja-JP"/>
      </w:rPr>
      <w:t xml:space="preserve">/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4736" w:rsidRDefault="00394736" w:rsidP="005676BB">
      <w:r>
        <w:separator/>
      </w:r>
    </w:p>
  </w:footnote>
  <w:footnote w:type="continuationSeparator" w:id="0">
    <w:p w:rsidR="00394736" w:rsidRDefault="00394736"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94736"/>
    <w:rsid w:val="003F20F5"/>
    <w:rsid w:val="00547602"/>
    <w:rsid w:val="005676BB"/>
    <w:rsid w:val="00624BD9"/>
    <w:rsid w:val="006A40B0"/>
    <w:rsid w:val="00764B98"/>
    <w:rsid w:val="007B113F"/>
    <w:rsid w:val="007D422F"/>
    <w:rsid w:val="008901E6"/>
    <w:rsid w:val="008B2922"/>
    <w:rsid w:val="009166E6"/>
    <w:rsid w:val="00A31947"/>
    <w:rsid w:val="00AB2DE2"/>
    <w:rsid w:val="00BB5781"/>
    <w:rsid w:val="00D24830"/>
    <w:rsid w:val="00D46AA5"/>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B285D9B-DA5A-4A69-9709-94E583BFE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76BB"/>
    <w:pPr>
      <w:tabs>
        <w:tab w:val="center" w:pos="4252"/>
        <w:tab w:val="right" w:pos="8504"/>
      </w:tabs>
      <w:snapToGrid w:val="0"/>
    </w:pPr>
  </w:style>
  <w:style w:type="character" w:customStyle="1" w:styleId="a5">
    <w:name w:val="ヘッダー (文字)"/>
    <w:basedOn w:val="a0"/>
    <w:link w:val="a4"/>
    <w:uiPriority w:val="99"/>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C40D-AF12-4D0D-8683-7DBBC20AD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1545</Words>
  <Characters>188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オルメサルタン錠20mg「ケミファ」_くすりのしおり</dc:title>
  <dc:subject/>
  <dc:creator/>
  <cp:keywords/>
  <dc:description/>
  <cp:revision>3</cp:revision>
  <dcterms:created xsi:type="dcterms:W3CDTF">2020-06-29T01:08:00Z</dcterms:created>
  <dcterms:modified xsi:type="dcterms:W3CDTF">2020-06-29T01:33:00Z</dcterms:modified>
</cp:coreProperties>
</file>