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543C7" w14:textId="77777777" w:rsidR="00D24830" w:rsidRDefault="00D24830" w:rsidP="001103E5">
      <w:pPr>
        <w:jc w:val="center"/>
        <w:outlineLvl w:val="0"/>
        <w:rPr>
          <w:rFonts w:asciiTheme="majorEastAsia" w:eastAsiaTheme="majorEastAsia" w:hAnsiTheme="majorEastAsia"/>
          <w:sz w:val="24"/>
          <w:szCs w:val="24"/>
        </w:rPr>
      </w:pPr>
      <w:r w:rsidRPr="007D422F">
        <w:rPr>
          <w:rFonts w:asciiTheme="majorEastAsia" w:eastAsiaTheme="majorEastAsia" w:hAnsiTheme="majorEastAsia" w:hint="eastAsia"/>
          <w:sz w:val="28"/>
          <w:szCs w:val="24"/>
        </w:rPr>
        <w:t>くすりのしおり</w:t>
      </w:r>
    </w:p>
    <w:p w14:paraId="3D55F32C" w14:textId="77777777" w:rsidR="00D24830" w:rsidRDefault="00D24830" w:rsidP="00D24830">
      <w:pPr>
        <w:jc w:val="right"/>
        <w:rPr>
          <w:rFonts w:asciiTheme="minorEastAsia"/>
          <w:sz w:val="20"/>
          <w:szCs w:val="20"/>
        </w:rPr>
      </w:pPr>
      <w:r w:rsidRPr="007D422F">
        <w:rPr>
          <w:rFonts w:asciiTheme="minorEastAsia" w:hAnsiTheme="minorEastAsia" w:hint="eastAsia"/>
          <w:sz w:val="20"/>
          <w:szCs w:val="20"/>
        </w:rPr>
        <w:t>内服剤</w:t>
      </w:r>
    </w:p>
    <w:p w14:paraId="255EBC92" w14:textId="77777777" w:rsidR="00D24830" w:rsidRPr="007D422F" w:rsidRDefault="00D24830" w:rsidP="00D24830">
      <w:pPr>
        <w:jc w:val="right"/>
        <w:rPr>
          <w:rFonts w:asciiTheme="majorEastAsia" w:eastAsiaTheme="majorEastAsia" w:hAnsiTheme="majorEastAsia"/>
          <w:sz w:val="24"/>
          <w:szCs w:val="24"/>
        </w:rPr>
      </w:pPr>
      <w:r w:rsidRPr="007D422F">
        <w:rPr>
          <w:rFonts w:asciiTheme="minorEastAsia" w:hAnsiTheme="minorEastAsia"/>
          <w:sz w:val="20"/>
          <w:szCs w:val="20"/>
        </w:rPr>
        <w:t>2024</w:t>
      </w:r>
      <w:r w:rsidRPr="007D422F">
        <w:rPr>
          <w:rFonts w:asciiTheme="minorEastAsia" w:hAnsiTheme="minorEastAsia" w:hint="eastAsia"/>
          <w:sz w:val="20"/>
          <w:szCs w:val="20"/>
        </w:rPr>
        <w:t>年</w:t>
      </w:r>
      <w:r w:rsidRPr="007D422F">
        <w:rPr>
          <w:rFonts w:asciiTheme="minorEastAsia" w:hAnsiTheme="minorEastAsia"/>
          <w:sz w:val="20"/>
          <w:szCs w:val="20"/>
        </w:rPr>
        <w:t>05</w:t>
      </w:r>
      <w:r w:rsidRPr="007D422F">
        <w:rPr>
          <w:rFonts w:asciiTheme="minorEastAsia" w:hAnsiTheme="minorEastAsia" w:hint="eastAsia"/>
          <w:sz w:val="20"/>
          <w:szCs w:val="20"/>
        </w:rPr>
        <w:t>月改訂</w:t>
      </w:r>
    </w:p>
    <w:tbl>
      <w:tblPr>
        <w:tblStyle w:val="a3"/>
        <w:tblW w:w="0" w:type="auto"/>
        <w:tblLayout w:type="fixed"/>
        <w:tblLook w:val="04A0" w:firstRow="1" w:lastRow="0" w:firstColumn="1" w:lastColumn="0" w:noHBand="0" w:noVBand="1"/>
      </w:tblPr>
      <w:tblGrid>
        <w:gridCol w:w="7807"/>
        <w:gridCol w:w="2161"/>
      </w:tblGrid>
      <w:tr w:rsidR="00D24830" w14:paraId="29D52014" w14:textId="77777777" w:rsidTr="003F20F5">
        <w:tc>
          <w:tcPr>
            <w:tcW w:w="9968" w:type="dxa"/>
            <w:gridSpan w:val="2"/>
          </w:tcPr>
          <w:p w14:paraId="3E7501DC" w14:textId="77777777" w:rsidR="00D24830" w:rsidRPr="007D422F" w:rsidRDefault="00D24830" w:rsidP="003F20F5">
            <w:pPr>
              <w:jc w:val="left"/>
              <w:rPr>
                <w:rFonts w:asciiTheme="majorEastAsia" w:eastAsiaTheme="majorEastAsia" w:hAnsiTheme="majorEastAsia"/>
                <w:sz w:val="20"/>
                <w:szCs w:val="20"/>
              </w:rPr>
            </w:pPr>
            <w:r w:rsidRPr="007D422F">
              <w:rPr>
                <w:rFonts w:asciiTheme="majorEastAsia" w:eastAsiaTheme="majorEastAsia" w:hAnsiTheme="majorEastAsia" w:hint="eastAsia"/>
                <w:sz w:val="20"/>
                <w:szCs w:val="20"/>
              </w:rPr>
              <w:t>薬には効果（ベネフィット）だけでなく副作用（リスク）があります。副作用をなるべく抑え、効果を最大限に引き出すことが大切です。そのために、この薬を使用される患者さんの理解と協力が必要です。</w:t>
            </w:r>
          </w:p>
        </w:tc>
      </w:tr>
      <w:tr w:rsidR="00D24830" w14:paraId="6E5B3B4A" w14:textId="77777777" w:rsidTr="009166E6">
        <w:trPr>
          <w:trHeight w:val="1134"/>
        </w:trPr>
        <w:tc>
          <w:tcPr>
            <w:tcW w:w="7807" w:type="dxa"/>
          </w:tcPr>
          <w:p w14:paraId="703C59DB" w14:textId="77777777" w:rsidR="00D24830" w:rsidRPr="000600ED" w:rsidRDefault="00D24830" w:rsidP="003F20F5">
            <w:pPr>
              <w:ind w:left="964" w:hangingChars="400" w:hanging="964"/>
              <w:jc w:val="left"/>
              <w:rPr>
                <w:rFonts w:asciiTheme="majorEastAsia" w:eastAsiaTheme="majorEastAsia" w:hAnsiTheme="majorEastAsia"/>
                <w:b/>
                <w:sz w:val="24"/>
                <w:szCs w:val="24"/>
              </w:rPr>
            </w:pPr>
            <w:r w:rsidRPr="000600ED">
              <w:rPr>
                <w:rFonts w:asciiTheme="majorEastAsia" w:eastAsiaTheme="majorEastAsia" w:hAnsiTheme="majorEastAsia" w:hint="eastAsia"/>
                <w:b/>
                <w:color w:val="FF0000"/>
                <w:sz w:val="24"/>
                <w:szCs w:val="24"/>
              </w:rPr>
              <w:t>製品名</w:t>
            </w:r>
            <w:r w:rsidRPr="000600ED">
              <w:rPr>
                <w:rFonts w:asciiTheme="majorEastAsia" w:eastAsiaTheme="majorEastAsia" w:hAnsiTheme="majorEastAsia"/>
                <w:b/>
                <w:color w:val="FF0000"/>
                <w:sz w:val="24"/>
                <w:szCs w:val="24"/>
              </w:rPr>
              <w:t>:</w:t>
            </w:r>
            <w:r w:rsidRPr="000600ED">
              <w:rPr>
                <w:rFonts w:asciiTheme="majorEastAsia" w:eastAsiaTheme="majorEastAsia" w:hAnsiTheme="majorEastAsia" w:hint="eastAsia"/>
                <w:b/>
                <w:sz w:val="24"/>
                <w:szCs w:val="24"/>
              </w:rPr>
              <w:t>メサラジン錠</w:t>
            </w:r>
            <w:r w:rsidRPr="000600ED">
              <w:rPr>
                <w:rFonts w:asciiTheme="majorEastAsia" w:eastAsiaTheme="majorEastAsia" w:hAnsiTheme="majorEastAsia"/>
                <w:b/>
                <w:sz w:val="24"/>
                <w:szCs w:val="24"/>
              </w:rPr>
              <w:t>250mg</w:t>
            </w:r>
            <w:r w:rsidRPr="000600ED">
              <w:rPr>
                <w:rFonts w:asciiTheme="majorEastAsia" w:eastAsiaTheme="majorEastAsia" w:hAnsiTheme="majorEastAsia" w:hint="eastAsia"/>
                <w:b/>
                <w:sz w:val="24"/>
                <w:szCs w:val="24"/>
              </w:rPr>
              <w:t>「ケミファ」</w:t>
            </w:r>
          </w:p>
          <w:p w14:paraId="56502869" w14:textId="77777777" w:rsidR="00D24830" w:rsidRPr="000600ED" w:rsidRDefault="00D24830" w:rsidP="003F20F5">
            <w:pPr>
              <w:ind w:leftChars="100" w:left="1013" w:hangingChars="400" w:hanging="803"/>
              <w:jc w:val="left"/>
              <w:rPr>
                <w:rFonts w:asciiTheme="minorEastAsia"/>
                <w:sz w:val="20"/>
                <w:szCs w:val="20"/>
              </w:rPr>
            </w:pPr>
            <w:r w:rsidRPr="000600ED">
              <w:rPr>
                <w:rFonts w:asciiTheme="majorEastAsia" w:eastAsiaTheme="majorEastAsia" w:hAnsiTheme="majorEastAsia" w:hint="eastAsia"/>
                <w:b/>
                <w:sz w:val="20"/>
                <w:szCs w:val="20"/>
              </w:rPr>
              <w:t>主成分</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メサラジン</w:t>
            </w:r>
            <w:r w:rsidRPr="000600ED">
              <w:rPr>
                <w:rFonts w:asciiTheme="minorEastAsia" w:hAnsiTheme="minorEastAsia"/>
                <w:sz w:val="20"/>
                <w:szCs w:val="20"/>
              </w:rPr>
              <w:t>(</w:t>
            </w:r>
            <w:proofErr w:type="spellStart"/>
            <w:r w:rsidRPr="000600ED">
              <w:rPr>
                <w:rFonts w:asciiTheme="minorEastAsia" w:hAnsiTheme="minorEastAsia"/>
                <w:sz w:val="20"/>
                <w:szCs w:val="20"/>
              </w:rPr>
              <w:t>Mesalazine</w:t>
            </w:r>
            <w:proofErr w:type="spellEnd"/>
            <w:r w:rsidRPr="000600ED">
              <w:rPr>
                <w:rFonts w:asciiTheme="minorEastAsia" w:hAnsiTheme="minorEastAsia"/>
                <w:sz w:val="20"/>
                <w:szCs w:val="20"/>
              </w:rPr>
              <w:t>)</w:t>
            </w:r>
          </w:p>
          <w:p w14:paraId="5C2B15BD" w14:textId="77777777" w:rsidR="00D24830" w:rsidRPr="000600ED" w:rsidRDefault="00D24830" w:rsidP="003F20F5">
            <w:pPr>
              <w:ind w:leftChars="100" w:left="812" w:hangingChars="300" w:hanging="602"/>
              <w:jc w:val="left"/>
              <w:rPr>
                <w:rFonts w:asciiTheme="minorEastAsia"/>
                <w:sz w:val="20"/>
                <w:szCs w:val="20"/>
              </w:rPr>
            </w:pPr>
            <w:r w:rsidRPr="000600ED">
              <w:rPr>
                <w:rFonts w:asciiTheme="majorEastAsia" w:eastAsiaTheme="majorEastAsia" w:hAnsiTheme="majorEastAsia" w:hint="eastAsia"/>
                <w:b/>
                <w:sz w:val="20"/>
                <w:szCs w:val="20"/>
              </w:rPr>
              <w:t>剤形</w:t>
            </w:r>
            <w:r w:rsidRPr="000600ED">
              <w:rPr>
                <w:rFonts w:asciiTheme="majorEastAsia" w:eastAsiaTheme="majorEastAsia" w:hAnsiTheme="majorEastAsia"/>
                <w:b/>
                <w:sz w:val="20"/>
                <w:szCs w:val="20"/>
              </w:rPr>
              <w:t>:</w:t>
            </w:r>
            <w:r w:rsidRPr="000600ED">
              <w:rPr>
                <w:rFonts w:asciiTheme="minorEastAsia" w:hAnsiTheme="minorEastAsia" w:hint="eastAsia"/>
                <w:sz w:val="20"/>
                <w:szCs w:val="20"/>
              </w:rPr>
              <w:t>灰白色～淡灰黄色の斑点入りの白色～淡黄色の割線入り錠剤、直径</w:t>
            </w:r>
            <w:r w:rsidRPr="000600ED">
              <w:rPr>
                <w:rFonts w:asciiTheme="minorEastAsia" w:hAnsiTheme="minorEastAsia"/>
                <w:sz w:val="20"/>
                <w:szCs w:val="20"/>
              </w:rPr>
              <w:t>9.5mm</w:t>
            </w:r>
            <w:r w:rsidRPr="000600ED">
              <w:rPr>
                <w:rFonts w:asciiTheme="minorEastAsia" w:hAnsiTheme="minorEastAsia" w:hint="eastAsia"/>
                <w:sz w:val="20"/>
                <w:szCs w:val="20"/>
              </w:rPr>
              <w:t>、厚さ</w:t>
            </w:r>
            <w:r w:rsidRPr="000600ED">
              <w:rPr>
                <w:rFonts w:asciiTheme="minorEastAsia" w:hAnsiTheme="minorEastAsia"/>
                <w:sz w:val="20"/>
                <w:szCs w:val="20"/>
              </w:rPr>
              <w:t>4.8mm</w:t>
            </w:r>
          </w:p>
          <w:p w14:paraId="7BEDEC71" w14:textId="77777777" w:rsidR="00D24830" w:rsidRPr="000600ED" w:rsidRDefault="00D24830" w:rsidP="003F20F5">
            <w:pPr>
              <w:ind w:leftChars="100" w:left="1415" w:hangingChars="600" w:hanging="1205"/>
              <w:jc w:val="left"/>
              <w:rPr>
                <w:rFonts w:asciiTheme="majorEastAsia" w:eastAsiaTheme="majorEastAsia" w:hAnsiTheme="majorEastAsia"/>
                <w:b/>
                <w:sz w:val="24"/>
                <w:szCs w:val="24"/>
              </w:rPr>
            </w:pPr>
            <w:r w:rsidRPr="000600ED">
              <w:rPr>
                <w:rFonts w:asciiTheme="majorEastAsia" w:eastAsiaTheme="majorEastAsia" w:hAnsiTheme="majorEastAsia" w:hint="eastAsia"/>
                <w:b/>
                <w:sz w:val="20"/>
                <w:szCs w:val="20"/>
              </w:rPr>
              <w:t>シート記載など</w:t>
            </w:r>
            <w:r w:rsidRPr="000600ED">
              <w:rPr>
                <w:rFonts w:asciiTheme="majorEastAsia" w:eastAsiaTheme="majorEastAsia" w:hAnsiTheme="majorEastAsia"/>
                <w:b/>
                <w:sz w:val="20"/>
                <w:szCs w:val="20"/>
              </w:rPr>
              <w:t>:</w:t>
            </w:r>
            <w:r w:rsidR="000600ED" w:rsidRPr="000600ED">
              <w:rPr>
                <w:rFonts w:asciiTheme="minorEastAsia" w:hAnsiTheme="minorEastAsia" w:hint="eastAsia"/>
                <w:sz w:val="20"/>
                <w:szCs w:val="20"/>
              </w:rPr>
              <w:t>メサラジン錠</w:t>
            </w:r>
            <w:r w:rsidR="000600ED" w:rsidRPr="000600ED">
              <w:rPr>
                <w:rFonts w:asciiTheme="minorEastAsia" w:hAnsiTheme="minorEastAsia"/>
                <w:sz w:val="20"/>
                <w:szCs w:val="20"/>
              </w:rPr>
              <w:t>250mg</w:t>
            </w:r>
            <w:r w:rsidR="000600ED" w:rsidRPr="000600ED">
              <w:rPr>
                <w:rFonts w:asciiTheme="minorEastAsia" w:hAnsiTheme="minorEastAsia" w:hint="eastAsia"/>
                <w:sz w:val="20"/>
                <w:szCs w:val="20"/>
              </w:rPr>
              <w:t>「ケミファ」、</w:t>
            </w:r>
            <w:proofErr w:type="spellStart"/>
            <w:r w:rsidR="000600ED" w:rsidRPr="000600ED">
              <w:rPr>
                <w:rFonts w:asciiTheme="minorEastAsia" w:hAnsiTheme="minorEastAsia"/>
                <w:sz w:val="20"/>
                <w:szCs w:val="20"/>
              </w:rPr>
              <w:t>Mesalazine</w:t>
            </w:r>
            <w:proofErr w:type="spellEnd"/>
            <w:r w:rsidR="000600ED" w:rsidRPr="000600ED">
              <w:rPr>
                <w:rFonts w:asciiTheme="minorEastAsia" w:hAnsiTheme="minorEastAsia"/>
                <w:sz w:val="20"/>
                <w:szCs w:val="20"/>
              </w:rPr>
              <w:t xml:space="preserve"> 250mg</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250</w:t>
            </w:r>
            <w:r w:rsidR="000600ED" w:rsidRPr="000600ED">
              <w:rPr>
                <w:rFonts w:asciiTheme="minorEastAsia" w:hAnsiTheme="minorEastAsia" w:hint="eastAsia"/>
                <w:sz w:val="20"/>
                <w:szCs w:val="20"/>
              </w:rPr>
              <w:t>、</w:t>
            </w:r>
            <w:r w:rsidR="000600ED" w:rsidRPr="000600ED">
              <w:rPr>
                <w:rFonts w:asciiTheme="minorEastAsia" w:hAnsiTheme="minorEastAsia"/>
                <w:sz w:val="20"/>
                <w:szCs w:val="20"/>
              </w:rPr>
              <w:t>NCP239</w:t>
            </w:r>
          </w:p>
        </w:tc>
        <w:tc>
          <w:tcPr>
            <w:tcW w:w="2161" w:type="dxa"/>
          </w:tcPr>
          <w:p w14:paraId="7194A3C2" w14:textId="77777777" w:rsidR="00D24830" w:rsidRPr="000600ED" w:rsidRDefault="00D24830" w:rsidP="001103E5">
            <w:pPr>
              <w:jc w:val="center"/>
              <w:rPr>
                <w:rFonts w:asciiTheme="minorEastAsia"/>
                <w:sz w:val="20"/>
                <w:szCs w:val="20"/>
              </w:rPr>
            </w:pPr>
            <w:r w:rsidRPr="000600ED">
              <w:rPr>
                <w:rFonts w:asciiTheme="minorEastAsia" w:hAnsiTheme="minorEastAsia" w:hint="eastAsia"/>
                <w:noProof/>
                <w:sz w:val="20"/>
                <w:szCs w:val="20"/>
              </w:rPr>
              <w:drawing>
                <wp:inline distT="0" distB="0" distL="0" distR="0" wp14:anchorId="75C25AAD" wp14:editId="3C1DA618">
                  <wp:extent cx="1219200" cy="6477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47700"/>
                          </a:xfrm>
                          <a:prstGeom prst="rect">
                            <a:avLst/>
                          </a:prstGeom>
                          <a:noFill/>
                          <a:ln>
                            <a:noFill/>
                          </a:ln>
                        </pic:spPr>
                      </pic:pic>
                    </a:graphicData>
                  </a:graphic>
                </wp:inline>
              </w:drawing>
            </w:r>
          </w:p>
        </w:tc>
      </w:tr>
      <w:tr w:rsidR="00D24830" w14:paraId="4931AB00" w14:textId="77777777" w:rsidTr="003F20F5">
        <w:tc>
          <w:tcPr>
            <w:tcW w:w="9968" w:type="dxa"/>
            <w:gridSpan w:val="2"/>
          </w:tcPr>
          <w:p w14:paraId="3CFE82CA"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この薬の作用と効果について</w:t>
            </w:r>
          </w:p>
          <w:p w14:paraId="0AEC516F" w14:textId="77777777" w:rsidR="009C3775" w:rsidRDefault="000600ED" w:rsidP="003F20F5">
            <w:pPr>
              <w:ind w:leftChars="100" w:left="210"/>
              <w:jc w:val="left"/>
            </w:pPr>
            <w:r w:rsidRPr="000600ED">
              <w:rPr>
                <w:rFonts w:asciiTheme="minorEastAsia" w:hAnsiTheme="minorEastAsia" w:hint="eastAsia"/>
                <w:sz w:val="20"/>
                <w:szCs w:val="20"/>
              </w:rPr>
              <w:t>炎症に関連する細胞から出る活性化された酸素を消去し、炎症に関連した生理機能を示す物質（ロイコトリエン）を作り出すことを抑制することにより、炎症が広がったり、組織が障害されたりすることを抑制し、腹痛、血便などを改善します。</w:t>
            </w:r>
          </w:p>
          <w:p w14:paraId="26FCBED5" w14:textId="77777777" w:rsidR="00D24830" w:rsidRPr="000600ED" w:rsidRDefault="000600ED" w:rsidP="003F20F5">
            <w:pPr>
              <w:ind w:leftChars="100" w:left="210"/>
              <w:jc w:val="left"/>
              <w:rPr>
                <w:rFonts w:asciiTheme="minorEastAsia"/>
                <w:sz w:val="20"/>
                <w:szCs w:val="20"/>
              </w:rPr>
            </w:pPr>
            <w:r w:rsidRPr="000600ED">
              <w:rPr>
                <w:rFonts w:asciiTheme="minorEastAsia" w:hAnsiTheme="minorEastAsia" w:hint="eastAsia"/>
                <w:sz w:val="20"/>
                <w:szCs w:val="20"/>
              </w:rPr>
              <w:t>通常、潰瘍性大腸炎（重症を除く）とクローン病の治療に用いられます。</w:t>
            </w:r>
          </w:p>
        </w:tc>
      </w:tr>
      <w:tr w:rsidR="00D24830" w14:paraId="6DFDD614" w14:textId="77777777" w:rsidTr="003F20F5">
        <w:tc>
          <w:tcPr>
            <w:tcW w:w="9968" w:type="dxa"/>
            <w:gridSpan w:val="2"/>
          </w:tcPr>
          <w:p w14:paraId="1179ECA1"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次のような方は注意が必要な場合があります。必ず担当の医師や薬剤師に伝えてください。</w:t>
            </w:r>
          </w:p>
          <w:p w14:paraId="0D7796DC" w14:textId="77777777" w:rsidR="009C3775" w:rsidRDefault="000600ED" w:rsidP="003F20F5">
            <w:pPr>
              <w:ind w:leftChars="100" w:left="410" w:hangingChars="100" w:hanging="200"/>
              <w:jc w:val="left"/>
            </w:pPr>
            <w:r w:rsidRPr="000600ED">
              <w:rPr>
                <w:rFonts w:asciiTheme="minorEastAsia" w:hAnsiTheme="minorEastAsia" w:hint="eastAsia"/>
                <w:sz w:val="20"/>
                <w:szCs w:val="20"/>
              </w:rPr>
              <w:t>・以前に薬や食べ物で、かゆみ、発疹などのアレルギー症状が出たことがある。腎障害、肝障害がある。</w:t>
            </w:r>
          </w:p>
          <w:p w14:paraId="3FE33C81" w14:textId="77777777" w:rsidR="009C3775" w:rsidRDefault="000600ED" w:rsidP="001456F1">
            <w:pPr>
              <w:ind w:leftChars="100" w:left="410" w:hangingChars="100" w:hanging="200"/>
            </w:pPr>
            <w:r w:rsidRPr="000600ED">
              <w:rPr>
                <w:rFonts w:asciiTheme="minorEastAsia" w:hAnsiTheme="minorEastAsia" w:hint="eastAsia"/>
                <w:sz w:val="20"/>
                <w:szCs w:val="20"/>
              </w:rPr>
              <w:t>・妊娠または授乳中</w:t>
            </w:r>
          </w:p>
          <w:p w14:paraId="0B94FEC1"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・他に薬などを使っている（お互いに作用を強めたり、弱めたりする可能性もありますので、他に使用中の一般用医薬品や食品も含めて注意してください）。</w:t>
            </w:r>
          </w:p>
        </w:tc>
      </w:tr>
      <w:tr w:rsidR="00D24830" w14:paraId="54BAC6D9" w14:textId="77777777" w:rsidTr="003F20F5">
        <w:trPr>
          <w:trHeight w:val="788"/>
        </w:trPr>
        <w:tc>
          <w:tcPr>
            <w:tcW w:w="9968" w:type="dxa"/>
            <w:gridSpan w:val="2"/>
          </w:tcPr>
          <w:p w14:paraId="3E0A9E4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用法・用量（この薬の使い方）</w:t>
            </w:r>
          </w:p>
          <w:p w14:paraId="3867AC24" w14:textId="77777777" w:rsidR="00D24830" w:rsidRDefault="00D24830" w:rsidP="003F20F5">
            <w:pPr>
              <w:ind w:leftChars="100" w:left="410" w:hangingChars="100" w:hanging="200"/>
              <w:jc w:val="left"/>
              <w:rPr>
                <w:rFonts w:asciiTheme="minorEastAsia"/>
                <w:sz w:val="20"/>
                <w:szCs w:val="20"/>
              </w:rPr>
            </w:pPr>
            <w:r w:rsidRPr="002376F2">
              <w:rPr>
                <w:rFonts w:asciiTheme="majorEastAsia" w:eastAsiaTheme="majorEastAsia" w:hAnsiTheme="majorEastAsia" w:hint="eastAsia"/>
                <w:sz w:val="20"/>
                <w:szCs w:val="20"/>
              </w:rPr>
              <w:t>・</w:t>
            </w:r>
            <w:r w:rsidRPr="00547602">
              <w:rPr>
                <w:rFonts w:asciiTheme="majorEastAsia" w:eastAsiaTheme="majorEastAsia" w:hAnsiTheme="majorEastAsia" w:hint="eastAsia"/>
                <w:b/>
                <w:sz w:val="20"/>
                <w:szCs w:val="20"/>
              </w:rPr>
              <w:t>あなたの用法・用量は</w:t>
            </w:r>
            <w:r w:rsidRPr="000600ED">
              <w:rPr>
                <w:rFonts w:asciiTheme="majorEastAsia" w:eastAsiaTheme="majorEastAsia" w:hAnsiTheme="majorEastAsia"/>
                <w:b/>
                <w:sz w:val="20"/>
                <w:szCs w:val="20"/>
              </w:rPr>
              <w:t>((</w:t>
            </w:r>
            <w:r>
              <w:rPr>
                <w:rFonts w:asciiTheme="majorEastAsia" w:eastAsiaTheme="majorEastAsia" w:hAnsiTheme="majorEastAsia" w:hint="eastAsia"/>
                <w:b/>
                <w:sz w:val="20"/>
                <w:szCs w:val="20"/>
              </w:rPr>
              <w:t xml:space="preserve">　　　　　　　　　　　　　　　　　　　　　　　　　　　</w:t>
            </w:r>
            <w:r w:rsidRPr="000600ED">
              <w:rPr>
                <w:rFonts w:asciiTheme="minorEastAsia" w:hAnsiTheme="minorEastAsia"/>
                <w:sz w:val="20"/>
                <w:szCs w:val="20"/>
              </w:rPr>
              <w:t>:</w:t>
            </w:r>
            <w:r w:rsidRPr="000600ED">
              <w:rPr>
                <w:rFonts w:asciiTheme="minorEastAsia" w:hAnsiTheme="minorEastAsia" w:hint="eastAsia"/>
                <w:sz w:val="20"/>
                <w:szCs w:val="20"/>
              </w:rPr>
              <w:t>医療担当者記入</w:t>
            </w:r>
            <w:r w:rsidRPr="000600ED">
              <w:rPr>
                <w:rFonts w:asciiTheme="majorEastAsia" w:eastAsiaTheme="majorEastAsia" w:hAnsiTheme="majorEastAsia"/>
                <w:b/>
                <w:sz w:val="20"/>
                <w:szCs w:val="20"/>
              </w:rPr>
              <w:t>))</w:t>
            </w:r>
          </w:p>
          <w:p w14:paraId="7C43B572" w14:textId="77777777" w:rsidR="009C3775" w:rsidRDefault="000600ED" w:rsidP="003F20F5">
            <w:pPr>
              <w:ind w:leftChars="100" w:left="410" w:hangingChars="100" w:hanging="200"/>
              <w:jc w:val="left"/>
            </w:pPr>
            <w:r w:rsidRPr="000600ED">
              <w:rPr>
                <w:rFonts w:asciiTheme="minorEastAsia" w:hAnsiTheme="minorEastAsia" w:hint="eastAsia"/>
                <w:sz w:val="20"/>
                <w:szCs w:val="20"/>
              </w:rPr>
              <w:t>・</w:t>
            </w:r>
            <w:r w:rsidRPr="000600ED">
              <w:rPr>
                <w:rFonts w:asciiTheme="minorEastAsia" w:hAnsiTheme="minorEastAsia" w:hint="eastAsia"/>
                <w:sz w:val="20"/>
                <w:szCs w:val="20"/>
                <w:u w:val="single"/>
              </w:rPr>
              <w:t>潰瘍性大腸炎（成人）</w:t>
            </w:r>
            <w:r w:rsidRPr="000600ED">
              <w:rPr>
                <w:rFonts w:asciiTheme="minorEastAsia" w:hAnsiTheme="minorEastAsia" w:hint="eastAsia"/>
                <w:sz w:val="20"/>
                <w:szCs w:val="20"/>
              </w:rPr>
              <w:t>：通常、成人は主成分として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1,500mg</w:t>
            </w:r>
            <w:r w:rsidRPr="000600ED">
              <w:rPr>
                <w:rFonts w:asciiTheme="minorEastAsia" w:hAnsiTheme="minorEastAsia" w:hint="eastAsia"/>
                <w:sz w:val="20"/>
                <w:szCs w:val="20"/>
              </w:rPr>
              <w:t>を</w:t>
            </w:r>
            <w:r w:rsidRPr="000600ED">
              <w:rPr>
                <w:rFonts w:asciiTheme="minorEastAsia" w:hAnsiTheme="minorEastAsia"/>
                <w:sz w:val="20"/>
                <w:szCs w:val="20"/>
              </w:rPr>
              <w:t>3</w:t>
            </w:r>
            <w:r w:rsidRPr="000600ED">
              <w:rPr>
                <w:rFonts w:asciiTheme="minorEastAsia" w:hAnsiTheme="minorEastAsia" w:hint="eastAsia"/>
                <w:sz w:val="20"/>
                <w:szCs w:val="20"/>
              </w:rPr>
              <w:t>回に分けて食後に服用します。年齢や症状により適宜増減されますが、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2,250mg</w:t>
            </w:r>
            <w:r w:rsidRPr="000600ED">
              <w:rPr>
                <w:rFonts w:asciiTheme="minorEastAsia" w:hAnsiTheme="minorEastAsia" w:hint="eastAsia"/>
                <w:sz w:val="20"/>
                <w:szCs w:val="20"/>
              </w:rPr>
              <w:t>を超えることはありません。寛解期には、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w:t>
            </w:r>
            <w:r w:rsidRPr="000600ED">
              <w:rPr>
                <w:rFonts w:asciiTheme="minorEastAsia" w:hAnsiTheme="minorEastAsia" w:hint="eastAsia"/>
                <w:sz w:val="20"/>
                <w:szCs w:val="20"/>
              </w:rPr>
              <w:t>回の服用となることがあります。活動期には</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4,000mg</w:t>
            </w:r>
            <w:r w:rsidRPr="000600ED">
              <w:rPr>
                <w:rFonts w:asciiTheme="minorEastAsia" w:hAnsiTheme="minorEastAsia" w:hint="eastAsia"/>
                <w:sz w:val="20"/>
                <w:szCs w:val="20"/>
              </w:rPr>
              <w:t>を</w:t>
            </w:r>
            <w:r w:rsidRPr="000600ED">
              <w:rPr>
                <w:rFonts w:asciiTheme="minorEastAsia" w:hAnsiTheme="minorEastAsia"/>
                <w:sz w:val="20"/>
                <w:szCs w:val="20"/>
              </w:rPr>
              <w:t>2</w:t>
            </w:r>
            <w:r w:rsidRPr="000600ED">
              <w:rPr>
                <w:rFonts w:asciiTheme="minorEastAsia" w:hAnsiTheme="minorEastAsia" w:hint="eastAsia"/>
                <w:sz w:val="20"/>
                <w:szCs w:val="20"/>
              </w:rPr>
              <w:t>回に分けて服用することがあります。</w:t>
            </w:r>
          </w:p>
          <w:p w14:paraId="4C94C47C" w14:textId="77777777" w:rsidR="009C3775" w:rsidRDefault="000600ED" w:rsidP="002B76BF">
            <w:pPr>
              <w:ind w:leftChars="200" w:left="420"/>
            </w:pPr>
            <w:r w:rsidRPr="000600ED">
              <w:rPr>
                <w:rFonts w:asciiTheme="minorEastAsia" w:hAnsiTheme="minorEastAsia" w:hint="eastAsia"/>
                <w:sz w:val="20"/>
                <w:szCs w:val="20"/>
                <w:u w:val="single"/>
              </w:rPr>
              <w:t>潰瘍性大腸炎（小児）</w:t>
            </w:r>
            <w:r w:rsidRPr="000600ED">
              <w:rPr>
                <w:rFonts w:asciiTheme="minorEastAsia" w:hAnsiTheme="minorEastAsia" w:hint="eastAsia"/>
                <w:sz w:val="20"/>
                <w:szCs w:val="20"/>
              </w:rPr>
              <w:t>：通常、小児は主成分として体重</w:t>
            </w:r>
            <w:r w:rsidRPr="000600ED">
              <w:rPr>
                <w:rFonts w:asciiTheme="minorEastAsia" w:hAnsiTheme="minorEastAsia"/>
                <w:sz w:val="20"/>
                <w:szCs w:val="20"/>
              </w:rPr>
              <w:t>1kg</w:t>
            </w:r>
            <w:r w:rsidRPr="000600ED">
              <w:rPr>
                <w:rFonts w:asciiTheme="minorEastAsia" w:hAnsiTheme="minorEastAsia" w:hint="eastAsia"/>
                <w:sz w:val="20"/>
                <w:szCs w:val="20"/>
              </w:rPr>
              <w:t>当たり</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30</w:t>
            </w:r>
            <w:r w:rsidRPr="000600ED">
              <w:rPr>
                <w:rFonts w:asciiTheme="minorEastAsia" w:hAnsiTheme="minorEastAsia" w:hint="eastAsia"/>
                <w:sz w:val="20"/>
                <w:szCs w:val="20"/>
              </w:rPr>
              <w:t>～</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3</w:t>
            </w:r>
            <w:r w:rsidRPr="000600ED">
              <w:rPr>
                <w:rFonts w:asciiTheme="minorEastAsia" w:hAnsiTheme="minorEastAsia" w:hint="eastAsia"/>
                <w:sz w:val="20"/>
                <w:szCs w:val="20"/>
              </w:rPr>
              <w:t>回に分けて食後に服用します。年齢や症状により適宜増減されますが、</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2,250mg</w:t>
            </w:r>
            <w:r w:rsidRPr="000600ED">
              <w:rPr>
                <w:rFonts w:asciiTheme="minorEastAsia" w:hAnsiTheme="minorEastAsia" w:hint="eastAsia"/>
                <w:sz w:val="20"/>
                <w:szCs w:val="20"/>
              </w:rPr>
              <w:t>を超えることはありません。</w:t>
            </w:r>
          </w:p>
          <w:p w14:paraId="02429C72" w14:textId="77777777" w:rsidR="009C3775" w:rsidRDefault="000600ED" w:rsidP="002B76BF">
            <w:pPr>
              <w:ind w:leftChars="200" w:left="420"/>
            </w:pPr>
            <w:r w:rsidRPr="000600ED">
              <w:rPr>
                <w:rFonts w:asciiTheme="minorEastAsia" w:hAnsiTheme="minorEastAsia" w:hint="eastAsia"/>
                <w:sz w:val="20"/>
                <w:szCs w:val="20"/>
                <w:u w:val="single"/>
              </w:rPr>
              <w:t>クローン病（成人）</w:t>
            </w:r>
            <w:r w:rsidRPr="000600ED">
              <w:rPr>
                <w:rFonts w:asciiTheme="minorEastAsia" w:hAnsiTheme="minorEastAsia" w:hint="eastAsia"/>
                <w:sz w:val="20"/>
                <w:szCs w:val="20"/>
              </w:rPr>
              <w:t>：通常、成人は主成分として</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1,500</w:t>
            </w:r>
            <w:r w:rsidRPr="000600ED">
              <w:rPr>
                <w:rFonts w:asciiTheme="minorEastAsia" w:hAnsiTheme="minorEastAsia" w:hint="eastAsia"/>
                <w:sz w:val="20"/>
                <w:szCs w:val="20"/>
              </w:rPr>
              <w:t>～</w:t>
            </w:r>
            <w:r w:rsidRPr="000600ED">
              <w:rPr>
                <w:rFonts w:asciiTheme="minorEastAsia" w:hAnsiTheme="minorEastAsia"/>
                <w:sz w:val="20"/>
                <w:szCs w:val="20"/>
              </w:rPr>
              <w:t>3,000mg</w:t>
            </w:r>
            <w:r w:rsidRPr="000600ED">
              <w:rPr>
                <w:rFonts w:asciiTheme="minorEastAsia" w:hAnsiTheme="minorEastAsia" w:hint="eastAsia"/>
                <w:sz w:val="20"/>
                <w:szCs w:val="20"/>
              </w:rPr>
              <w:t>を</w:t>
            </w:r>
            <w:r w:rsidRPr="000600ED">
              <w:rPr>
                <w:rFonts w:asciiTheme="minorEastAsia" w:hAnsiTheme="minorEastAsia"/>
                <w:sz w:val="20"/>
                <w:szCs w:val="20"/>
              </w:rPr>
              <w:t>3</w:t>
            </w:r>
            <w:r w:rsidRPr="000600ED">
              <w:rPr>
                <w:rFonts w:asciiTheme="minorEastAsia" w:hAnsiTheme="minorEastAsia" w:hint="eastAsia"/>
                <w:sz w:val="20"/>
                <w:szCs w:val="20"/>
              </w:rPr>
              <w:t>回に分けて食後に服用します。年齢や症状により適宜増減されます。</w:t>
            </w:r>
          </w:p>
          <w:p w14:paraId="50787B42" w14:textId="77777777" w:rsidR="009C3775" w:rsidRDefault="000600ED" w:rsidP="002B76BF">
            <w:pPr>
              <w:ind w:leftChars="200" w:left="420"/>
            </w:pPr>
            <w:r w:rsidRPr="000600ED">
              <w:rPr>
                <w:rFonts w:asciiTheme="minorEastAsia" w:hAnsiTheme="minorEastAsia" w:hint="eastAsia"/>
                <w:sz w:val="20"/>
                <w:szCs w:val="20"/>
                <w:u w:val="single"/>
              </w:rPr>
              <w:t>クローン病（小児）</w:t>
            </w:r>
            <w:r w:rsidRPr="000600ED">
              <w:rPr>
                <w:rFonts w:asciiTheme="minorEastAsia" w:hAnsiTheme="minorEastAsia" w:hint="eastAsia"/>
                <w:sz w:val="20"/>
                <w:szCs w:val="20"/>
              </w:rPr>
              <w:t>：通常、小児は主成分として体重</w:t>
            </w:r>
            <w:r w:rsidRPr="000600ED">
              <w:rPr>
                <w:rFonts w:asciiTheme="minorEastAsia" w:hAnsiTheme="minorEastAsia"/>
                <w:sz w:val="20"/>
                <w:szCs w:val="20"/>
              </w:rPr>
              <w:t>1kg</w:t>
            </w:r>
            <w:r w:rsidRPr="000600ED">
              <w:rPr>
                <w:rFonts w:asciiTheme="minorEastAsia" w:hAnsiTheme="minorEastAsia" w:hint="eastAsia"/>
                <w:sz w:val="20"/>
                <w:szCs w:val="20"/>
              </w:rPr>
              <w:t>当たり</w:t>
            </w:r>
            <w:r w:rsidRPr="000600ED">
              <w:rPr>
                <w:rFonts w:asciiTheme="minorEastAsia" w:hAnsiTheme="minorEastAsia"/>
                <w:sz w:val="20"/>
                <w:szCs w:val="20"/>
              </w:rPr>
              <w:t>1</w:t>
            </w:r>
            <w:r w:rsidRPr="000600ED">
              <w:rPr>
                <w:rFonts w:asciiTheme="minorEastAsia" w:hAnsiTheme="minorEastAsia" w:hint="eastAsia"/>
                <w:sz w:val="20"/>
                <w:szCs w:val="20"/>
              </w:rPr>
              <w:t>日</w:t>
            </w:r>
            <w:r w:rsidRPr="000600ED">
              <w:rPr>
                <w:rFonts w:asciiTheme="minorEastAsia" w:hAnsiTheme="minorEastAsia"/>
                <w:sz w:val="20"/>
                <w:szCs w:val="20"/>
              </w:rPr>
              <w:t>40</w:t>
            </w:r>
            <w:r w:rsidRPr="000600ED">
              <w:rPr>
                <w:rFonts w:asciiTheme="minorEastAsia" w:hAnsiTheme="minorEastAsia" w:hint="eastAsia"/>
                <w:sz w:val="20"/>
                <w:szCs w:val="20"/>
              </w:rPr>
              <w:t>～</w:t>
            </w:r>
            <w:r w:rsidRPr="000600ED">
              <w:rPr>
                <w:rFonts w:asciiTheme="minorEastAsia" w:hAnsiTheme="minorEastAsia"/>
                <w:sz w:val="20"/>
                <w:szCs w:val="20"/>
              </w:rPr>
              <w:t>60mg</w:t>
            </w:r>
            <w:r w:rsidRPr="000600ED">
              <w:rPr>
                <w:rFonts w:asciiTheme="minorEastAsia" w:hAnsiTheme="minorEastAsia" w:hint="eastAsia"/>
                <w:sz w:val="20"/>
                <w:szCs w:val="20"/>
              </w:rPr>
              <w:t>を</w:t>
            </w:r>
            <w:r w:rsidRPr="000600ED">
              <w:rPr>
                <w:rFonts w:asciiTheme="minorEastAsia" w:hAnsiTheme="minorEastAsia"/>
                <w:sz w:val="20"/>
                <w:szCs w:val="20"/>
              </w:rPr>
              <w:t>3</w:t>
            </w:r>
            <w:r w:rsidRPr="000600ED">
              <w:rPr>
                <w:rFonts w:asciiTheme="minorEastAsia" w:hAnsiTheme="minorEastAsia" w:hint="eastAsia"/>
                <w:sz w:val="20"/>
                <w:szCs w:val="20"/>
              </w:rPr>
              <w:t>回に分けて食後に服用します。年齢や症状により適宜増減されます。</w:t>
            </w:r>
          </w:p>
          <w:p w14:paraId="391D7583" w14:textId="77777777" w:rsidR="009C3775" w:rsidRDefault="000600ED" w:rsidP="002B76BF">
            <w:pPr>
              <w:ind w:leftChars="200" w:left="420"/>
            </w:pPr>
            <w:r w:rsidRPr="000600ED">
              <w:rPr>
                <w:rFonts w:asciiTheme="minorEastAsia" w:hAnsiTheme="minorEastAsia" w:hint="eastAsia"/>
                <w:sz w:val="20"/>
                <w:szCs w:val="20"/>
              </w:rPr>
              <w:t>この薬は</w:t>
            </w:r>
            <w:r w:rsidRPr="000600ED">
              <w:rPr>
                <w:rFonts w:asciiTheme="minorEastAsia" w:hAnsiTheme="minorEastAsia"/>
                <w:sz w:val="20"/>
                <w:szCs w:val="20"/>
              </w:rPr>
              <w:t>1</w:t>
            </w:r>
            <w:r w:rsidRPr="000600ED">
              <w:rPr>
                <w:rFonts w:asciiTheme="minorEastAsia" w:hAnsiTheme="minorEastAsia" w:hint="eastAsia"/>
                <w:sz w:val="20"/>
                <w:szCs w:val="20"/>
              </w:rPr>
              <w:t>錠中に主成分</w:t>
            </w:r>
            <w:r w:rsidRPr="000600ED">
              <w:rPr>
                <w:rFonts w:asciiTheme="minorEastAsia" w:hAnsiTheme="minorEastAsia"/>
                <w:sz w:val="20"/>
                <w:szCs w:val="20"/>
              </w:rPr>
              <w:t>250mg</w:t>
            </w:r>
            <w:r w:rsidRPr="000600ED">
              <w:rPr>
                <w:rFonts w:asciiTheme="minorEastAsia" w:hAnsiTheme="minorEastAsia" w:hint="eastAsia"/>
                <w:sz w:val="20"/>
                <w:szCs w:val="20"/>
              </w:rPr>
              <w:t>を含む薬です。いずれの場合も、必ず指示された服用方法に従ってください。</w:t>
            </w:r>
          </w:p>
          <w:p w14:paraId="3A31E799" w14:textId="77777777" w:rsidR="009C3775" w:rsidRDefault="009C3775" w:rsidP="002B76BF">
            <w:pPr>
              <w:ind w:leftChars="200" w:left="420"/>
            </w:pPr>
          </w:p>
          <w:p w14:paraId="278EBD96" w14:textId="77777777" w:rsidR="009C3775" w:rsidRDefault="000600ED" w:rsidP="001456F1">
            <w:pPr>
              <w:ind w:leftChars="100" w:left="410" w:hangingChars="100" w:hanging="200"/>
            </w:pPr>
            <w:r w:rsidRPr="000600ED">
              <w:rPr>
                <w:rFonts w:asciiTheme="minorEastAsia" w:hAnsiTheme="minorEastAsia" w:hint="eastAsia"/>
                <w:sz w:val="20"/>
                <w:szCs w:val="20"/>
              </w:rPr>
              <w:t>・この薬は二分割して服用できますが、主成分の放出を調節している薬ですので、かまずに服用してください。</w:t>
            </w:r>
          </w:p>
          <w:p w14:paraId="2A0BF7A3" w14:textId="77777777" w:rsidR="009C3775" w:rsidRDefault="000600ED" w:rsidP="001456F1">
            <w:pPr>
              <w:ind w:leftChars="100" w:left="410" w:hangingChars="100" w:hanging="200"/>
            </w:pPr>
            <w:r w:rsidRPr="000600ED">
              <w:rPr>
                <w:rFonts w:asciiTheme="minorEastAsia" w:hAnsiTheme="minorEastAsia" w:hint="eastAsia"/>
                <w:sz w:val="20"/>
                <w:szCs w:val="20"/>
              </w:rPr>
              <w:t>・飲み忘れた場合は気がついたときに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回分を飲んでください。ただし、次の通常飲む時間が近い場合には飲まないで、次の通常の服用時間に</w:t>
            </w:r>
            <w:r w:rsidRPr="000600ED">
              <w:rPr>
                <w:rFonts w:asciiTheme="minorEastAsia" w:hAnsiTheme="minorEastAsia"/>
                <w:sz w:val="20"/>
                <w:szCs w:val="20"/>
              </w:rPr>
              <w:t>1</w:t>
            </w:r>
            <w:r w:rsidRPr="000600ED">
              <w:rPr>
                <w:rFonts w:asciiTheme="minorEastAsia" w:hAnsiTheme="minorEastAsia" w:hint="eastAsia"/>
                <w:sz w:val="20"/>
                <w:szCs w:val="20"/>
              </w:rPr>
              <w:t>回分を飲んでください。</w:t>
            </w:r>
            <w:r w:rsidRPr="000600ED">
              <w:rPr>
                <w:rFonts w:asciiTheme="minorEastAsia" w:hAnsiTheme="minorEastAsia"/>
                <w:sz w:val="20"/>
                <w:szCs w:val="20"/>
              </w:rPr>
              <w:t>2</w:t>
            </w:r>
            <w:r w:rsidRPr="000600ED">
              <w:rPr>
                <w:rFonts w:asciiTheme="minorEastAsia" w:hAnsiTheme="minorEastAsia" w:hint="eastAsia"/>
                <w:sz w:val="20"/>
                <w:szCs w:val="20"/>
              </w:rPr>
              <w:t>回分を一度に飲んではいけません。</w:t>
            </w:r>
          </w:p>
          <w:p w14:paraId="28280162" w14:textId="77777777" w:rsidR="009C3775" w:rsidRDefault="000600ED" w:rsidP="001456F1">
            <w:pPr>
              <w:ind w:leftChars="100" w:left="410" w:hangingChars="100" w:hanging="200"/>
            </w:pPr>
            <w:r w:rsidRPr="000600ED">
              <w:rPr>
                <w:rFonts w:asciiTheme="minorEastAsia" w:hAnsiTheme="minorEastAsia" w:hint="eastAsia"/>
                <w:sz w:val="20"/>
                <w:szCs w:val="20"/>
              </w:rPr>
              <w:t>・誤って多く飲んだ場合は医師または薬剤師に相談してください。</w:t>
            </w:r>
          </w:p>
          <w:p w14:paraId="21C9C5ED" w14:textId="77777777" w:rsidR="00D24830" w:rsidRPr="000600ED" w:rsidRDefault="000600ED" w:rsidP="001456F1">
            <w:pPr>
              <w:ind w:leftChars="100" w:left="410" w:hangingChars="100" w:hanging="200"/>
              <w:rPr>
                <w:rFonts w:asciiTheme="majorEastAsia" w:eastAsiaTheme="majorEastAsia" w:hAnsiTheme="majorEastAsia"/>
                <w:b/>
                <w:color w:val="FF0000"/>
                <w:sz w:val="20"/>
                <w:szCs w:val="20"/>
              </w:rPr>
            </w:pPr>
            <w:r w:rsidRPr="000600ED">
              <w:rPr>
                <w:rFonts w:asciiTheme="minorEastAsia" w:hAnsiTheme="minorEastAsia" w:hint="eastAsia"/>
                <w:sz w:val="20"/>
                <w:szCs w:val="20"/>
              </w:rPr>
              <w:t>・医師の指示なしに飲むのを止めないでください。</w:t>
            </w:r>
          </w:p>
        </w:tc>
      </w:tr>
      <w:tr w:rsidR="00D24830" w14:paraId="7E89CB1F" w14:textId="77777777" w:rsidTr="003F20F5">
        <w:tc>
          <w:tcPr>
            <w:tcW w:w="9968" w:type="dxa"/>
            <w:gridSpan w:val="2"/>
          </w:tcPr>
          <w:p w14:paraId="1C6B640D"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生活上の注意</w:t>
            </w:r>
          </w:p>
          <w:p w14:paraId="5EEA0BCE" w14:textId="77777777" w:rsidR="009C3775" w:rsidRDefault="000600ED" w:rsidP="003F20F5">
            <w:pPr>
              <w:ind w:leftChars="100" w:left="410" w:hangingChars="100" w:hanging="200"/>
              <w:jc w:val="left"/>
            </w:pPr>
            <w:r w:rsidRPr="000600ED">
              <w:rPr>
                <w:rFonts w:asciiTheme="minorEastAsia" w:hAnsiTheme="minorEastAsia" w:hint="eastAsia"/>
                <w:sz w:val="20"/>
                <w:szCs w:val="20"/>
              </w:rPr>
              <w:t>・便に白いものがみられることがありますが、これはこの薬の添加剤であるエチルセルロースですので心配はいりません。</w:t>
            </w:r>
          </w:p>
          <w:p w14:paraId="53D3C9CF" w14:textId="77777777" w:rsidR="009C3775" w:rsidRDefault="000600ED" w:rsidP="001456F1">
            <w:pPr>
              <w:ind w:leftChars="100" w:left="410" w:hangingChars="100" w:hanging="200"/>
            </w:pPr>
            <w:r w:rsidRPr="000600ED">
              <w:rPr>
                <w:rFonts w:asciiTheme="minorEastAsia" w:hAnsiTheme="minorEastAsia" w:hint="eastAsia"/>
                <w:sz w:val="20"/>
                <w:szCs w:val="20"/>
              </w:rPr>
              <w:t>・尿が次亜塩素酸塩を含む漂白剤と接触すると、赤褐色に変色することがあります。</w:t>
            </w:r>
          </w:p>
          <w:p w14:paraId="7EF1DA38" w14:textId="77777777" w:rsidR="009C3775" w:rsidRDefault="000600ED" w:rsidP="001456F1">
            <w:pPr>
              <w:ind w:leftChars="100" w:left="410" w:hangingChars="100" w:hanging="200"/>
            </w:pPr>
            <w:r w:rsidRPr="000600ED">
              <w:rPr>
                <w:rFonts w:asciiTheme="minorEastAsia" w:hAnsiTheme="minorEastAsia" w:hint="eastAsia"/>
                <w:sz w:val="20"/>
                <w:szCs w:val="20"/>
              </w:rPr>
              <w:t>・副作用を確認するため、服用期間中に腎臓や肝臓の働きや血液検査をすることがあります。</w:t>
            </w:r>
          </w:p>
          <w:p w14:paraId="1F4D9640" w14:textId="77777777" w:rsidR="00D24830" w:rsidRPr="000600ED" w:rsidRDefault="00D24830" w:rsidP="001456F1">
            <w:pPr>
              <w:ind w:leftChars="100" w:left="410" w:hangingChars="100" w:hanging="200"/>
              <w:rPr>
                <w:rFonts w:asciiTheme="minorEastAsia"/>
                <w:sz w:val="20"/>
                <w:szCs w:val="20"/>
              </w:rPr>
            </w:pPr>
          </w:p>
        </w:tc>
      </w:tr>
      <w:tr w:rsidR="00D24830" w14:paraId="7C01FD20" w14:textId="77777777" w:rsidTr="003F20F5">
        <w:tc>
          <w:tcPr>
            <w:tcW w:w="9968" w:type="dxa"/>
            <w:gridSpan w:val="2"/>
          </w:tcPr>
          <w:p w14:paraId="0742551C"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t>この薬を使ったあと気をつけていただくこと（副作用）</w:t>
            </w:r>
          </w:p>
          <w:p w14:paraId="16C7B591" w14:textId="77777777" w:rsidR="00D24830" w:rsidRPr="000600ED" w:rsidRDefault="00D24830" w:rsidP="003F20F5">
            <w:pPr>
              <w:ind w:leftChars="100" w:left="210"/>
              <w:jc w:val="left"/>
              <w:rPr>
                <w:rFonts w:asciiTheme="minorEastAsia" w:hAnsiTheme="minorEastAsia"/>
                <w:sz w:val="20"/>
                <w:szCs w:val="20"/>
              </w:rPr>
            </w:pPr>
            <w:r w:rsidRPr="000600ED">
              <w:rPr>
                <w:rFonts w:asciiTheme="minorEastAsia" w:hAnsiTheme="minorEastAsia" w:hint="eastAsia"/>
                <w:sz w:val="20"/>
                <w:szCs w:val="20"/>
              </w:rPr>
              <w:t>副作用として、下痢、発疹、血便、下血、口内炎、発熱などが報告されています。このような症状に気づいたら、担当の医師または薬剤師に相談してください。</w:t>
            </w:r>
          </w:p>
          <w:p w14:paraId="068D3D77"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まれに下記のような症状があらわれ、</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 xml:space="preserve">　</w:t>
            </w:r>
            <w:r w:rsidRPr="000600ED">
              <w:rPr>
                <w:rFonts w:asciiTheme="majorEastAsia" w:eastAsiaTheme="majorEastAsia" w:hAnsiTheme="majorEastAsia"/>
                <w:b/>
                <w:sz w:val="20"/>
                <w:szCs w:val="20"/>
              </w:rPr>
              <w:t>]</w:t>
            </w:r>
            <w:r w:rsidRPr="000600ED">
              <w:rPr>
                <w:rFonts w:asciiTheme="majorEastAsia" w:eastAsiaTheme="majorEastAsia" w:hAnsiTheme="majorEastAsia" w:hint="eastAsia"/>
                <w:b/>
                <w:sz w:val="20"/>
                <w:szCs w:val="20"/>
              </w:rPr>
              <w:t>内に示した副作用の初期症状である可能性があります。</w:t>
            </w:r>
          </w:p>
          <w:p w14:paraId="737BC423"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このような場合には、使用をやめて、すぐに医師の診療を受けてください。</w:t>
            </w:r>
          </w:p>
          <w:p w14:paraId="6E205E9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・発熱、息苦しい、咳</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間質性肺疾患</w:t>
            </w:r>
            <w:r w:rsidRPr="000600ED">
              <w:rPr>
                <w:rFonts w:asciiTheme="minorEastAsia" w:hAnsiTheme="minorEastAsia"/>
                <w:sz w:val="20"/>
                <w:szCs w:val="20"/>
              </w:rPr>
              <w:t>]</w:t>
            </w:r>
          </w:p>
          <w:p w14:paraId="6ADA761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・発熱、息苦しい、胸の痛み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心筋炎、心膜炎、胸膜炎</w:t>
            </w:r>
            <w:r w:rsidRPr="000600ED">
              <w:rPr>
                <w:rFonts w:asciiTheme="minorEastAsia" w:hAnsiTheme="minorEastAsia"/>
                <w:sz w:val="20"/>
                <w:szCs w:val="20"/>
              </w:rPr>
              <w:t>]</w:t>
            </w:r>
          </w:p>
          <w:p w14:paraId="59F12E17"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・むくみ、尿量が減る、体がだるい</w:t>
            </w:r>
            <w:r w:rsidRPr="000600ED">
              <w:rPr>
                <w:rFonts w:asciiTheme="minorEastAsia" w:hAnsiTheme="minorEastAsia"/>
                <w:sz w:val="20"/>
                <w:szCs w:val="20"/>
              </w:rPr>
              <w:t xml:space="preserve"> [</w:t>
            </w:r>
            <w:r w:rsidRPr="000600ED">
              <w:rPr>
                <w:rFonts w:asciiTheme="minorEastAsia" w:hAnsiTheme="minorEastAsia" w:hint="eastAsia"/>
                <w:sz w:val="20"/>
                <w:szCs w:val="20"/>
              </w:rPr>
              <w:t>間質性腎炎、ネフローゼ症候群、腎機能低下、急性腎不全</w:t>
            </w:r>
            <w:r w:rsidRPr="000600ED">
              <w:rPr>
                <w:rFonts w:asciiTheme="minorEastAsia" w:hAnsiTheme="minorEastAsia"/>
                <w:sz w:val="20"/>
                <w:szCs w:val="20"/>
              </w:rPr>
              <w:t>]</w:t>
            </w:r>
          </w:p>
          <w:p w14:paraId="14820B30"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・出血しやすい</w:t>
            </w:r>
            <w:r w:rsidRPr="000600ED">
              <w:rPr>
                <w:rFonts w:asciiTheme="minorEastAsia" w:hAnsiTheme="minorEastAsia"/>
                <w:sz w:val="20"/>
                <w:szCs w:val="20"/>
              </w:rPr>
              <w:t>/</w:t>
            </w:r>
            <w:r w:rsidRPr="000600ED">
              <w:rPr>
                <w:rFonts w:asciiTheme="minorEastAsia" w:hAnsiTheme="minorEastAsia" w:hint="eastAsia"/>
                <w:sz w:val="20"/>
                <w:szCs w:val="20"/>
              </w:rPr>
              <w:t>止まりにくい、あおあざができる、発熱</w:t>
            </w:r>
            <w:r w:rsidRPr="000600ED">
              <w:rPr>
                <w:rFonts w:asciiTheme="minorEastAsia" w:hAnsiTheme="minorEastAsia"/>
                <w:sz w:val="20"/>
                <w:szCs w:val="20"/>
              </w:rPr>
              <w:t xml:space="preserve"> [</w:t>
            </w:r>
            <w:r w:rsidRPr="000600ED">
              <w:rPr>
                <w:rFonts w:asciiTheme="minorEastAsia" w:hAnsiTheme="minorEastAsia" w:hint="eastAsia"/>
                <w:sz w:val="20"/>
                <w:szCs w:val="20"/>
              </w:rPr>
              <w:t>再生不良性貧血、汎血球減少、無顆粒球症、血小板減少症</w:t>
            </w:r>
            <w:r w:rsidRPr="000600ED">
              <w:rPr>
                <w:rFonts w:asciiTheme="minorEastAsia" w:hAnsiTheme="minorEastAsia"/>
                <w:sz w:val="20"/>
                <w:szCs w:val="20"/>
              </w:rPr>
              <w:t>]</w:t>
            </w:r>
          </w:p>
          <w:p w14:paraId="5BF3FA51"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・皮膚・白目が黄色くなる、吐き気・嘔吐、尿の色が濃くなる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肝炎、肝機能障害、黄疸</w:t>
            </w:r>
            <w:r w:rsidRPr="000600ED">
              <w:rPr>
                <w:rFonts w:asciiTheme="minorEastAsia" w:hAnsiTheme="minorEastAsia"/>
                <w:sz w:val="20"/>
                <w:szCs w:val="20"/>
              </w:rPr>
              <w:t>]</w:t>
            </w:r>
          </w:p>
          <w:p w14:paraId="39D6D303"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lastRenderedPageBreak/>
              <w:t>・激しい上腹部または腰背部の痛み、吐き気・嘔吐、体重が減る</w:t>
            </w:r>
            <w:r w:rsidRPr="000600ED">
              <w:rPr>
                <w:rFonts w:asciiTheme="minorEastAsia" w:hAnsiTheme="minorEastAsia"/>
                <w:sz w:val="20"/>
                <w:szCs w:val="20"/>
              </w:rPr>
              <w:t xml:space="preserve"> [</w:t>
            </w:r>
            <w:r w:rsidRPr="000600ED">
              <w:rPr>
                <w:rFonts w:asciiTheme="minorEastAsia" w:hAnsiTheme="minorEastAsia" w:hint="eastAsia"/>
                <w:sz w:val="20"/>
                <w:szCs w:val="20"/>
              </w:rPr>
              <w:t>膵炎</w:t>
            </w:r>
            <w:r w:rsidRPr="000600ED">
              <w:rPr>
                <w:rFonts w:asciiTheme="minorEastAsia" w:hAnsiTheme="minorEastAsia"/>
                <w:sz w:val="20"/>
                <w:szCs w:val="20"/>
              </w:rPr>
              <w:t>]</w:t>
            </w:r>
          </w:p>
          <w:p w14:paraId="0169EEEA"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・高熱（</w:t>
            </w:r>
            <w:r w:rsidRPr="000600ED">
              <w:rPr>
                <w:rFonts w:asciiTheme="minorEastAsia" w:hAnsiTheme="minorEastAsia"/>
                <w:sz w:val="20"/>
                <w:szCs w:val="20"/>
              </w:rPr>
              <w:t>38</w:t>
            </w:r>
            <w:r w:rsidRPr="000600ED">
              <w:rPr>
                <w:rFonts w:asciiTheme="minorEastAsia" w:hAnsiTheme="minorEastAsia" w:hint="eastAsia"/>
                <w:sz w:val="20"/>
                <w:szCs w:val="20"/>
              </w:rPr>
              <w:t>℃以上）、目の充血、皮膚の広い範囲が赤くなる</w:t>
            </w:r>
            <w:r w:rsidRPr="000600ED">
              <w:rPr>
                <w:rFonts w:asciiTheme="minorEastAsia" w:hAnsiTheme="minorEastAsia"/>
                <w:sz w:val="20"/>
                <w:szCs w:val="20"/>
              </w:rPr>
              <w:t xml:space="preserve"> [</w:t>
            </w:r>
            <w:r w:rsidRPr="000600ED">
              <w:rPr>
                <w:rFonts w:asciiTheme="minorEastAsia" w:hAnsiTheme="minorEastAsia" w:hint="eastAsia"/>
                <w:sz w:val="20"/>
                <w:szCs w:val="20"/>
              </w:rPr>
              <w:t>中毒性表皮壊死融解症、皮膚粘膜眼症候群</w:t>
            </w:r>
            <w:r w:rsidRPr="000600ED">
              <w:rPr>
                <w:rFonts w:asciiTheme="minorEastAsia" w:hAnsiTheme="minorEastAsia"/>
                <w:sz w:val="20"/>
                <w:szCs w:val="20"/>
              </w:rPr>
              <w:t>]</w:t>
            </w:r>
          </w:p>
          <w:p w14:paraId="57FF2BCC" w14:textId="77777777" w:rsidR="00D24830" w:rsidRPr="000600ED" w:rsidRDefault="00D24830" w:rsidP="003F20F5">
            <w:pPr>
              <w:ind w:leftChars="100" w:left="410" w:hangingChars="100" w:hanging="200"/>
              <w:jc w:val="left"/>
              <w:rPr>
                <w:rFonts w:asciiTheme="minorEastAsia" w:hAnsiTheme="minorEastAsia"/>
                <w:sz w:val="20"/>
                <w:szCs w:val="20"/>
              </w:rPr>
            </w:pPr>
            <w:r w:rsidRPr="000600ED">
              <w:rPr>
                <w:rFonts w:asciiTheme="minorEastAsia" w:hAnsiTheme="minorEastAsia" w:hint="eastAsia"/>
                <w:sz w:val="20"/>
                <w:szCs w:val="20"/>
              </w:rPr>
              <w:t>・皮膚の広い範囲が赤くなる、高熱（</w:t>
            </w:r>
            <w:r w:rsidRPr="000600ED">
              <w:rPr>
                <w:rFonts w:asciiTheme="minorEastAsia" w:hAnsiTheme="minorEastAsia"/>
                <w:sz w:val="20"/>
                <w:szCs w:val="20"/>
              </w:rPr>
              <w:t>38</w:t>
            </w:r>
            <w:r w:rsidRPr="000600ED">
              <w:rPr>
                <w:rFonts w:asciiTheme="minorEastAsia" w:hAnsiTheme="minorEastAsia" w:hint="eastAsia"/>
                <w:sz w:val="20"/>
                <w:szCs w:val="20"/>
              </w:rPr>
              <w:t>℃以上）、のどの痛み</w:t>
            </w:r>
            <w:r w:rsidRPr="000600ED">
              <w:rPr>
                <w:rFonts w:asciiTheme="minorEastAsia" w:hAnsiTheme="minorEastAsia"/>
                <w:sz w:val="20"/>
                <w:szCs w:val="20"/>
              </w:rPr>
              <w:t xml:space="preserve"> [</w:t>
            </w:r>
            <w:r w:rsidRPr="000600ED">
              <w:rPr>
                <w:rFonts w:asciiTheme="minorEastAsia" w:hAnsiTheme="minorEastAsia" w:hint="eastAsia"/>
                <w:sz w:val="20"/>
                <w:szCs w:val="20"/>
              </w:rPr>
              <w:t>薬剤性過敏症症候群</w:t>
            </w:r>
            <w:r w:rsidRPr="000600ED">
              <w:rPr>
                <w:rFonts w:asciiTheme="minorEastAsia" w:hAnsiTheme="minorEastAsia"/>
                <w:sz w:val="20"/>
                <w:szCs w:val="20"/>
              </w:rPr>
              <w:t>]</w:t>
            </w:r>
          </w:p>
          <w:p w14:paraId="73401211" w14:textId="77777777" w:rsidR="00D24830" w:rsidRPr="000600ED" w:rsidRDefault="00D24830" w:rsidP="003F20F5">
            <w:pPr>
              <w:jc w:val="left"/>
              <w:rPr>
                <w:rFonts w:asciiTheme="majorEastAsia" w:eastAsiaTheme="majorEastAsia" w:hAnsiTheme="majorEastAsia"/>
                <w:b/>
                <w:sz w:val="20"/>
                <w:szCs w:val="20"/>
              </w:rPr>
            </w:pPr>
            <w:r w:rsidRPr="000600ED">
              <w:rPr>
                <w:rFonts w:asciiTheme="majorEastAsia" w:eastAsiaTheme="majorEastAsia" w:hAnsiTheme="majorEastAsia" w:hint="eastAsia"/>
                <w:b/>
                <w:sz w:val="20"/>
                <w:szCs w:val="20"/>
              </w:rPr>
              <w:t>以上の副作用はすべてを記載したものではありません。上記以外でも気になる症状が出た場合は、医師または薬剤師に相談してください。</w:t>
            </w:r>
          </w:p>
        </w:tc>
      </w:tr>
      <w:tr w:rsidR="00D24830" w14:paraId="3ADE3E2B" w14:textId="77777777" w:rsidTr="003F20F5">
        <w:tc>
          <w:tcPr>
            <w:tcW w:w="9968" w:type="dxa"/>
            <w:gridSpan w:val="2"/>
          </w:tcPr>
          <w:p w14:paraId="7358A4A4" w14:textId="77777777" w:rsidR="00D24830" w:rsidRPr="000600ED" w:rsidRDefault="00D24830" w:rsidP="003F20F5">
            <w:pPr>
              <w:jc w:val="left"/>
              <w:rPr>
                <w:rFonts w:asciiTheme="majorEastAsia" w:eastAsiaTheme="majorEastAsia" w:hAnsiTheme="majorEastAsia"/>
                <w:b/>
                <w:color w:val="FF0000"/>
                <w:sz w:val="20"/>
                <w:szCs w:val="20"/>
              </w:rPr>
            </w:pPr>
            <w:r w:rsidRPr="000600ED">
              <w:rPr>
                <w:rFonts w:asciiTheme="majorEastAsia" w:eastAsiaTheme="majorEastAsia" w:hAnsiTheme="majorEastAsia" w:hint="eastAsia"/>
                <w:b/>
                <w:color w:val="FF0000"/>
                <w:sz w:val="20"/>
                <w:szCs w:val="20"/>
              </w:rPr>
              <w:lastRenderedPageBreak/>
              <w:t>保管方法</w:t>
            </w:r>
            <w:r w:rsidRPr="000600ED">
              <w:rPr>
                <w:rFonts w:asciiTheme="majorEastAsia" w:eastAsiaTheme="majorEastAsia" w:hAnsiTheme="majorEastAsia"/>
                <w:b/>
                <w:color w:val="FF0000"/>
                <w:sz w:val="20"/>
                <w:szCs w:val="20"/>
              </w:rPr>
              <w:t xml:space="preserve"> </w:t>
            </w:r>
            <w:r w:rsidRPr="000600ED">
              <w:rPr>
                <w:rFonts w:asciiTheme="majorEastAsia" w:eastAsiaTheme="majorEastAsia" w:hAnsiTheme="majorEastAsia" w:hint="eastAsia"/>
                <w:b/>
                <w:color w:val="FF0000"/>
                <w:sz w:val="20"/>
                <w:szCs w:val="20"/>
              </w:rPr>
              <w:t>その他</w:t>
            </w:r>
          </w:p>
          <w:p w14:paraId="2AB116B3" w14:textId="77777777" w:rsidR="009C3775" w:rsidRDefault="000600ED" w:rsidP="003F20F5">
            <w:pPr>
              <w:ind w:leftChars="100" w:left="410" w:hangingChars="100" w:hanging="200"/>
              <w:jc w:val="left"/>
            </w:pPr>
            <w:r w:rsidRPr="000600ED">
              <w:rPr>
                <w:rFonts w:asciiTheme="minorEastAsia" w:hAnsiTheme="minorEastAsia" w:hint="eastAsia"/>
                <w:sz w:val="20"/>
                <w:szCs w:val="20"/>
              </w:rPr>
              <w:t>・乳幼児、小児の手の届かないところで、直射日光、湿気を避けて室温（</w:t>
            </w:r>
            <w:r w:rsidRPr="000600ED">
              <w:rPr>
                <w:rFonts w:asciiTheme="minorEastAsia" w:hAnsiTheme="minorEastAsia"/>
                <w:sz w:val="20"/>
                <w:szCs w:val="20"/>
              </w:rPr>
              <w:t>1</w:t>
            </w:r>
            <w:r w:rsidRPr="000600ED">
              <w:rPr>
                <w:rFonts w:asciiTheme="minorEastAsia" w:hAnsiTheme="minorEastAsia" w:hint="eastAsia"/>
                <w:sz w:val="20"/>
                <w:szCs w:val="20"/>
              </w:rPr>
              <w:t>～</w:t>
            </w:r>
            <w:r w:rsidRPr="000600ED">
              <w:rPr>
                <w:rFonts w:asciiTheme="minorEastAsia" w:hAnsiTheme="minorEastAsia"/>
                <w:sz w:val="20"/>
                <w:szCs w:val="20"/>
              </w:rPr>
              <w:t>30</w:t>
            </w:r>
            <w:r w:rsidRPr="000600ED">
              <w:rPr>
                <w:rFonts w:asciiTheme="minorEastAsia" w:hAnsiTheme="minorEastAsia" w:hint="eastAsia"/>
                <w:sz w:val="20"/>
                <w:szCs w:val="20"/>
              </w:rPr>
              <w:t>℃）で保管してください。</w:t>
            </w:r>
          </w:p>
          <w:p w14:paraId="66C092E3" w14:textId="77777777" w:rsidR="009C3775" w:rsidRDefault="000600ED" w:rsidP="001456F1">
            <w:pPr>
              <w:ind w:leftChars="100" w:left="410" w:hangingChars="100" w:hanging="200"/>
            </w:pPr>
            <w:r w:rsidRPr="000600ED">
              <w:rPr>
                <w:rFonts w:asciiTheme="minorEastAsia" w:hAnsiTheme="minorEastAsia" w:hint="eastAsia"/>
                <w:sz w:val="20"/>
                <w:szCs w:val="20"/>
              </w:rPr>
              <w:t>・保存中にわずかに着色することがありますが、薬の効果は変わりありません。</w:t>
            </w:r>
          </w:p>
          <w:p w14:paraId="04D001B5" w14:textId="77777777" w:rsidR="00D24830" w:rsidRPr="000600ED" w:rsidRDefault="000600ED" w:rsidP="001456F1">
            <w:pPr>
              <w:ind w:leftChars="100" w:left="410" w:hangingChars="100" w:hanging="200"/>
              <w:rPr>
                <w:rFonts w:asciiTheme="minorEastAsia"/>
                <w:sz w:val="20"/>
                <w:szCs w:val="20"/>
              </w:rPr>
            </w:pPr>
            <w:r w:rsidRPr="000600ED">
              <w:rPr>
                <w:rFonts w:asciiTheme="minorEastAsia" w:hAnsiTheme="minorEastAsia" w:hint="eastAsia"/>
                <w:sz w:val="20"/>
                <w:szCs w:val="20"/>
              </w:rPr>
              <w:t>・薬が残った場合、保管しないで廃棄してください。廃棄方法がわからない場合は受け取った薬局や医療機関に相談してください。他の人に渡さないでください。</w:t>
            </w:r>
          </w:p>
        </w:tc>
      </w:tr>
      <w:tr w:rsidR="00D24830" w14:paraId="12E0C65F" w14:textId="77777777" w:rsidTr="003F20F5">
        <w:tc>
          <w:tcPr>
            <w:tcW w:w="9968" w:type="dxa"/>
            <w:gridSpan w:val="2"/>
          </w:tcPr>
          <w:p w14:paraId="7B03C10C" w14:textId="77777777" w:rsidR="00D24830" w:rsidRDefault="00D24830" w:rsidP="003F20F5">
            <w:pPr>
              <w:jc w:val="left"/>
              <w:rPr>
                <w:rFonts w:asciiTheme="minorEastAsia"/>
                <w:sz w:val="20"/>
                <w:szCs w:val="20"/>
              </w:rPr>
            </w:pPr>
            <w:r w:rsidRPr="000600ED">
              <w:rPr>
                <w:rFonts w:asciiTheme="majorEastAsia" w:eastAsiaTheme="majorEastAsia" w:hAnsiTheme="majorEastAsia" w:hint="eastAsia"/>
                <w:b/>
                <w:color w:val="FF0000"/>
                <w:sz w:val="20"/>
                <w:szCs w:val="20"/>
              </w:rPr>
              <w:t>医療担当者記入欄</w:t>
            </w:r>
            <w:r>
              <w:rPr>
                <w:rFonts w:asciiTheme="majorEastAsia" w:eastAsiaTheme="majorEastAsia" w:hAnsiTheme="majorEastAsia"/>
                <w:sz w:val="20"/>
                <w:szCs w:val="20"/>
              </w:rPr>
              <w:t xml:space="preserve">      </w:t>
            </w:r>
            <w:r w:rsidRPr="000600ED">
              <w:rPr>
                <w:rFonts w:asciiTheme="minorEastAsia" w:hAnsiTheme="minorEastAsia" w:hint="eastAsia"/>
                <w:sz w:val="20"/>
                <w:szCs w:val="20"/>
              </w:rPr>
              <w:t xml:space="preserve">　　　　　　　　年　　　月　　　日</w:t>
            </w:r>
          </w:p>
          <w:p w14:paraId="5A11E9DC" w14:textId="77777777" w:rsidR="00D24830" w:rsidRDefault="00D24830" w:rsidP="003F20F5">
            <w:pPr>
              <w:rPr>
                <w:rFonts w:asciiTheme="minorEastAsia"/>
                <w:sz w:val="20"/>
                <w:szCs w:val="20"/>
              </w:rPr>
            </w:pPr>
          </w:p>
          <w:p w14:paraId="7C458A8A" w14:textId="77777777" w:rsidR="00D24830" w:rsidRPr="007D422F" w:rsidRDefault="00D24830" w:rsidP="003F20F5">
            <w:pPr>
              <w:rPr>
                <w:rFonts w:asciiTheme="majorEastAsia" w:eastAsiaTheme="majorEastAsia" w:hAnsiTheme="majorEastAsia"/>
                <w:sz w:val="20"/>
                <w:szCs w:val="20"/>
              </w:rPr>
            </w:pPr>
          </w:p>
        </w:tc>
      </w:tr>
    </w:tbl>
    <w:p w14:paraId="5426F643" w14:textId="7136FE5B" w:rsidR="002712BC" w:rsidRDefault="00D24830" w:rsidP="00D24830">
      <w:pPr>
        <w:jc w:val="left"/>
        <w:rPr>
          <w:rFonts w:asciiTheme="minorEastAsia" w:hAnsiTheme="minorEastAsia"/>
          <w:sz w:val="20"/>
          <w:szCs w:val="20"/>
        </w:rPr>
      </w:pPr>
      <w:r w:rsidRPr="000600ED">
        <w:rPr>
          <w:rFonts w:asciiTheme="minorEastAsia" w:hAnsiTheme="minorEastAsia" w:hint="eastAsia"/>
          <w:sz w:val="20"/>
          <w:szCs w:val="20"/>
        </w:rPr>
        <w:t>より詳細な情報を望まれる場合は、担当の医師または薬剤師におたずねください。また、医療関係者向けの「添付文書情報」が医薬品医療機器総合機構のホームページに掲載されています。</w:t>
      </w:r>
    </w:p>
    <w:p w14:paraId="65C8E4C3" w14:textId="77777777" w:rsidR="002712BC" w:rsidRDefault="002712BC">
      <w:pPr>
        <w:widowControl/>
        <w:jc w:val="left"/>
        <w:rPr>
          <w:rFonts w:asciiTheme="minorEastAsia" w:hAnsiTheme="minorEastAsia"/>
          <w:sz w:val="20"/>
          <w:szCs w:val="20"/>
        </w:rPr>
      </w:pPr>
      <w:r>
        <w:rPr>
          <w:rFonts w:asciiTheme="minorEastAsia" w:hAnsiTheme="minorEastAsia"/>
          <w:sz w:val="20"/>
          <w:szCs w:val="20"/>
        </w:rPr>
        <w:br w:type="page"/>
      </w:r>
    </w:p>
    <w:p w14:paraId="66FD08D8" w14:textId="77777777" w:rsidR="002712BC" w:rsidRDefault="002712BC" w:rsidP="002712BC">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lastRenderedPageBreak/>
        <w:t>Drug Information Sheet("</w:t>
      </w:r>
      <w:proofErr w:type="spellStart"/>
      <w:r w:rsidRPr="00244138">
        <w:rPr>
          <w:rFonts w:asciiTheme="majorHAnsi" w:eastAsiaTheme="majorEastAsia" w:hAnsiTheme="majorHAnsi" w:cs="游ゴシック Light"/>
          <w:sz w:val="28"/>
          <w:szCs w:val="24"/>
        </w:rPr>
        <w:t>Kusuri</w:t>
      </w:r>
      <w:proofErr w:type="spellEnd"/>
      <w:r w:rsidRPr="00244138">
        <w:rPr>
          <w:rFonts w:asciiTheme="majorHAnsi" w:eastAsiaTheme="majorEastAsia" w:hAnsiTheme="majorHAnsi" w:cs="游ゴシック Light"/>
          <w:sz w:val="28"/>
          <w:szCs w:val="24"/>
        </w:rPr>
        <w:t>-no-Shiori")</w:t>
      </w:r>
    </w:p>
    <w:p w14:paraId="144937EA" w14:textId="77777777" w:rsidR="002712BC" w:rsidRDefault="002712BC" w:rsidP="002712BC">
      <w:pPr>
        <w:jc w:val="right"/>
        <w:rPr>
          <w:rFonts w:ascii="ＭＳ Ｐ明朝" w:eastAsia="ＭＳ Ｐ明朝" w:hAnsi="ＭＳ Ｐ明朝"/>
          <w:sz w:val="20"/>
          <w:szCs w:val="20"/>
        </w:rPr>
      </w:pPr>
      <w:r w:rsidRPr="00507AE7">
        <w:rPr>
          <w:rFonts w:ascii="ＭＳ Ｐ明朝" w:eastAsia="ＭＳ Ｐ明朝" w:hAnsi="ＭＳ Ｐ明朝"/>
          <w:sz w:val="20"/>
          <w:szCs w:val="20"/>
        </w:rPr>
        <w:t>Internal</w:t>
      </w:r>
    </w:p>
    <w:p w14:paraId="57F2BFA2" w14:textId="77777777" w:rsidR="002712BC" w:rsidRPr="00244138" w:rsidRDefault="002712BC" w:rsidP="002712BC">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Revised: 05/2024</w:t>
      </w:r>
    </w:p>
    <w:tbl>
      <w:tblPr>
        <w:tblStyle w:val="a3"/>
        <w:tblW w:w="0" w:type="auto"/>
        <w:tblLook w:val="04A0" w:firstRow="1" w:lastRow="0" w:firstColumn="1" w:lastColumn="0" w:noHBand="0" w:noVBand="1"/>
      </w:tblPr>
      <w:tblGrid>
        <w:gridCol w:w="7606"/>
        <w:gridCol w:w="2136"/>
      </w:tblGrid>
      <w:tr w:rsidR="002712BC" w14:paraId="40DC4504" w14:textId="77777777" w:rsidTr="00C9502D">
        <w:tc>
          <w:tcPr>
            <w:tcW w:w="9968" w:type="dxa"/>
            <w:gridSpan w:val="2"/>
          </w:tcPr>
          <w:p w14:paraId="16AE8977" w14:textId="77777777" w:rsidR="002712BC" w:rsidRPr="00244138" w:rsidRDefault="002712BC" w:rsidP="00C9502D">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2712BC" w14:paraId="561B9D01" w14:textId="77777777" w:rsidTr="00C9502D">
        <w:trPr>
          <w:trHeight w:val="1134"/>
        </w:trPr>
        <w:tc>
          <w:tcPr>
            <w:tcW w:w="7849" w:type="dxa"/>
          </w:tcPr>
          <w:p w14:paraId="5D50796D" w14:textId="77777777" w:rsidR="002712BC" w:rsidRPr="00507AE7" w:rsidRDefault="002712BC" w:rsidP="00C9502D">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 xml:space="preserve">Brand </w:t>
            </w:r>
            <w:proofErr w:type="spellStart"/>
            <w:r w:rsidRPr="00244138">
              <w:rPr>
                <w:rFonts w:asciiTheme="majorHAnsi" w:eastAsiaTheme="majorEastAsia" w:hAnsiTheme="majorHAnsi" w:cs="游ゴシック Light"/>
                <w:b/>
                <w:color w:val="FF0000"/>
                <w:sz w:val="24"/>
                <w:szCs w:val="24"/>
              </w:rPr>
              <w:t>name:</w:t>
            </w:r>
            <w:r w:rsidRPr="00507AE7">
              <w:rPr>
                <w:rFonts w:ascii="ＭＳ Ｐゴシック" w:eastAsia="ＭＳ Ｐゴシック" w:hAnsi="ＭＳ Ｐゴシック" w:cs="游ゴシック Light"/>
                <w:b/>
                <w:sz w:val="24"/>
                <w:szCs w:val="24"/>
              </w:rPr>
              <w:t>Mesalazine</w:t>
            </w:r>
            <w:proofErr w:type="spellEnd"/>
            <w:r w:rsidRPr="00507AE7">
              <w:rPr>
                <w:rFonts w:ascii="ＭＳ Ｐゴシック" w:eastAsia="ＭＳ Ｐゴシック" w:hAnsi="ＭＳ Ｐゴシック" w:cs="游ゴシック Light"/>
                <w:b/>
                <w:sz w:val="24"/>
                <w:szCs w:val="24"/>
              </w:rPr>
              <w:t xml:space="preserve"> Tablets 250mg "Chemiphar"</w:t>
            </w:r>
          </w:p>
          <w:p w14:paraId="734F35AB" w14:textId="77777777" w:rsidR="002712BC" w:rsidRPr="00507AE7" w:rsidRDefault="002712BC" w:rsidP="00C9502D">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Active </w:t>
            </w:r>
            <w:proofErr w:type="spellStart"/>
            <w:r w:rsidRPr="00244138">
              <w:rPr>
                <w:rFonts w:asciiTheme="majorHAnsi" w:eastAsiaTheme="majorEastAsia" w:hAnsiTheme="majorHAnsi" w:cs="游ゴシック Light"/>
                <w:b/>
                <w:sz w:val="20"/>
                <w:szCs w:val="20"/>
              </w:rPr>
              <w:t>ingredient:</w:t>
            </w:r>
            <w:r w:rsidRPr="00507AE7">
              <w:rPr>
                <w:rFonts w:ascii="ＭＳ Ｐ明朝" w:eastAsia="ＭＳ Ｐ明朝" w:hAnsi="ＭＳ Ｐ明朝"/>
                <w:sz w:val="20"/>
                <w:szCs w:val="20"/>
              </w:rPr>
              <w:t>Mesalazine</w:t>
            </w:r>
            <w:proofErr w:type="spellEnd"/>
          </w:p>
          <w:p w14:paraId="40CAD09D" w14:textId="77777777" w:rsidR="002712BC" w:rsidRPr="00507AE7" w:rsidRDefault="002712BC" w:rsidP="00C9502D">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 xml:space="preserve">Dosage </w:t>
            </w:r>
            <w:proofErr w:type="spellStart"/>
            <w:r w:rsidRPr="00244138">
              <w:rPr>
                <w:rFonts w:asciiTheme="majorHAnsi" w:eastAsiaTheme="majorEastAsia" w:hAnsiTheme="majorHAnsi" w:cs="游ゴシック Light"/>
                <w:b/>
                <w:sz w:val="20"/>
                <w:szCs w:val="20"/>
              </w:rPr>
              <w:t>form:</w:t>
            </w:r>
            <w:r w:rsidRPr="00507AE7">
              <w:rPr>
                <w:rFonts w:ascii="ＭＳ Ｐ明朝" w:eastAsia="ＭＳ Ｐ明朝" w:hAnsi="ＭＳ Ｐ明朝"/>
                <w:sz w:val="20"/>
                <w:szCs w:val="20"/>
              </w:rPr>
              <w:t>white</w:t>
            </w:r>
            <w:proofErr w:type="spellEnd"/>
            <w:r w:rsidRPr="00507AE7">
              <w:rPr>
                <w:rFonts w:ascii="ＭＳ Ｐ明朝" w:eastAsia="ＭＳ Ｐ明朝" w:hAnsi="ＭＳ Ｐ明朝"/>
                <w:sz w:val="20"/>
                <w:szCs w:val="20"/>
              </w:rPr>
              <w:t xml:space="preserve"> to pale yellow circular tablet with grayish white to pale grayish yellow spots and line dividing the tablet into two halves, diameter: 9.5 mm, thickness: 4.8 mm.</w:t>
            </w:r>
          </w:p>
          <w:p w14:paraId="3FB1FBAA" w14:textId="77777777" w:rsidR="002712BC" w:rsidRPr="00DF5189" w:rsidRDefault="002712BC" w:rsidP="00C9502D">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Pr="00507AE7">
              <w:rPr>
                <w:rFonts w:ascii="ＭＳ Ｐ明朝" w:eastAsia="ＭＳ Ｐ明朝" w:hAnsi="ＭＳ Ｐ明朝" w:hint="eastAsia"/>
                <w:sz w:val="20"/>
                <w:szCs w:val="20"/>
              </w:rPr>
              <w:t>メサラジン錠</w:t>
            </w:r>
            <w:r w:rsidRPr="00507AE7">
              <w:rPr>
                <w:rFonts w:ascii="ＭＳ Ｐ明朝" w:eastAsia="ＭＳ Ｐ明朝" w:hAnsi="ＭＳ Ｐ明朝"/>
                <w:sz w:val="20"/>
                <w:szCs w:val="20"/>
              </w:rPr>
              <w:t>250mg</w:t>
            </w:r>
            <w:r w:rsidRPr="00507AE7">
              <w:rPr>
                <w:rFonts w:ascii="ＭＳ Ｐ明朝" w:eastAsia="ＭＳ Ｐ明朝" w:hAnsi="ＭＳ Ｐ明朝" w:hint="eastAsia"/>
                <w:sz w:val="20"/>
                <w:szCs w:val="20"/>
              </w:rPr>
              <w:t>「ケミファ」</w:t>
            </w:r>
            <w:r w:rsidRPr="00507AE7">
              <w:rPr>
                <w:rFonts w:ascii="ＭＳ Ｐ明朝" w:eastAsia="ＭＳ Ｐ明朝" w:hAnsi="ＭＳ Ｐ明朝"/>
                <w:sz w:val="20"/>
                <w:szCs w:val="20"/>
              </w:rPr>
              <w:t xml:space="preserve">, </w:t>
            </w:r>
            <w:proofErr w:type="spellStart"/>
            <w:r w:rsidRPr="00507AE7">
              <w:rPr>
                <w:rFonts w:ascii="ＭＳ Ｐ明朝" w:eastAsia="ＭＳ Ｐ明朝" w:hAnsi="ＭＳ Ｐ明朝"/>
                <w:sz w:val="20"/>
                <w:szCs w:val="20"/>
              </w:rPr>
              <w:t>Mesalazine</w:t>
            </w:r>
            <w:proofErr w:type="spellEnd"/>
            <w:r w:rsidRPr="00507AE7">
              <w:rPr>
                <w:rFonts w:ascii="ＭＳ Ｐ明朝" w:eastAsia="ＭＳ Ｐ明朝" w:hAnsi="ＭＳ Ｐ明朝"/>
                <w:sz w:val="20"/>
                <w:szCs w:val="20"/>
              </w:rPr>
              <w:t xml:space="preserve"> 250mg, 250, NCP239</w:t>
            </w:r>
          </w:p>
        </w:tc>
        <w:tc>
          <w:tcPr>
            <w:tcW w:w="2119" w:type="dxa"/>
          </w:tcPr>
          <w:p w14:paraId="2A10806D" w14:textId="77777777" w:rsidR="002712BC" w:rsidRPr="00244138" w:rsidRDefault="002712BC" w:rsidP="00C9502D">
            <w:pPr>
              <w:jc w:val="center"/>
              <w:rPr>
                <w:rFonts w:ascii="Palatino Linotype" w:hAnsi="Palatino Linotype"/>
                <w:sz w:val="20"/>
                <w:szCs w:val="20"/>
              </w:rPr>
            </w:pPr>
            <w:r w:rsidRPr="00244138">
              <w:rPr>
                <w:rFonts w:ascii="Palatino Linotype" w:hAnsi="Palatino Linotype"/>
                <w:noProof/>
                <w:sz w:val="20"/>
                <w:szCs w:val="20"/>
              </w:rPr>
              <w:drawing>
                <wp:inline distT="0" distB="0" distL="0" distR="0" wp14:anchorId="7212A5FB" wp14:editId="731E50A9">
                  <wp:extent cx="1219200" cy="609600"/>
                  <wp:effectExtent l="0" t="0" r="0" b="0"/>
                  <wp:docPr id="1948476049" name="図 1948476049" descr="背景パターン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8476049" name="図 1948476049" descr="背景パターン が含まれている画像&#10;&#10;自動的に生成された説明"/>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19200" cy="609600"/>
                          </a:xfrm>
                          <a:prstGeom prst="rect">
                            <a:avLst/>
                          </a:prstGeom>
                          <a:noFill/>
                          <a:ln>
                            <a:noFill/>
                          </a:ln>
                        </pic:spPr>
                      </pic:pic>
                    </a:graphicData>
                  </a:graphic>
                </wp:inline>
              </w:drawing>
            </w:r>
          </w:p>
        </w:tc>
      </w:tr>
      <w:tr w:rsidR="002712BC" w14:paraId="57F8844F" w14:textId="77777777" w:rsidTr="00C9502D">
        <w:tc>
          <w:tcPr>
            <w:tcW w:w="9968" w:type="dxa"/>
            <w:gridSpan w:val="2"/>
          </w:tcPr>
          <w:p w14:paraId="7C630D2C" w14:textId="77777777" w:rsidR="002712BC" w:rsidRPr="00244138" w:rsidRDefault="002712BC"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7EFD3AB4" w14:textId="77777777" w:rsidR="002712BC" w:rsidRDefault="002712BC" w:rsidP="00C9502D">
            <w:pPr>
              <w:ind w:leftChars="100" w:left="210"/>
              <w:jc w:val="left"/>
            </w:pPr>
            <w:r w:rsidRPr="00507AE7">
              <w:rPr>
                <w:rFonts w:ascii="ＭＳ Ｐ明朝" w:eastAsia="ＭＳ Ｐ明朝" w:hAnsi="ＭＳ Ｐ明朝"/>
                <w:sz w:val="20"/>
                <w:szCs w:val="20"/>
              </w:rPr>
              <w:t xml:space="preserve">This medicine eliminates activated oxygen released from inflammatory-related cells and suppressing the production of substances (leukotrienes) that exhibit physiological functions related to inflammation. It suppresses spread of inflammation and tissue damage, and consequently improves abdominal pain and bloody stools. </w:t>
            </w:r>
          </w:p>
          <w:p w14:paraId="53C216FB" w14:textId="77777777" w:rsidR="002712BC" w:rsidRPr="00507AE7" w:rsidRDefault="002712BC" w:rsidP="00C9502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in the treatment of ulcerative colitis (except for severe) and Crohn's disease.</w:t>
            </w:r>
          </w:p>
        </w:tc>
      </w:tr>
      <w:tr w:rsidR="002712BC" w14:paraId="4E1EC58B" w14:textId="77777777" w:rsidTr="00C9502D">
        <w:tc>
          <w:tcPr>
            <w:tcW w:w="9968" w:type="dxa"/>
            <w:gridSpan w:val="2"/>
          </w:tcPr>
          <w:p w14:paraId="73F89E77" w14:textId="77777777" w:rsidR="002712BC" w:rsidRPr="00244138" w:rsidRDefault="002712BC"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 xml:space="preserve">The following patients may need to be careful when using this </w:t>
            </w:r>
            <w:proofErr w:type="spellStart"/>
            <w:r w:rsidRPr="00244138">
              <w:rPr>
                <w:rFonts w:asciiTheme="majorHAnsi" w:eastAsiaTheme="majorEastAsia" w:hAnsiTheme="majorHAnsi" w:cs="游ゴシック Light"/>
                <w:b/>
                <w:color w:val="FF0000"/>
                <w:sz w:val="20"/>
                <w:szCs w:val="20"/>
              </w:rPr>
              <w:t>medicine.Be</w:t>
            </w:r>
            <w:proofErr w:type="spellEnd"/>
            <w:r w:rsidRPr="00244138">
              <w:rPr>
                <w:rFonts w:asciiTheme="majorHAnsi" w:eastAsiaTheme="majorEastAsia" w:hAnsiTheme="majorHAnsi" w:cs="游ゴシック Light"/>
                <w:b/>
                <w:color w:val="FF0000"/>
                <w:sz w:val="20"/>
                <w:szCs w:val="20"/>
              </w:rPr>
              <w:t xml:space="preserve"> sure to tell your doctor and pharmacist.</w:t>
            </w:r>
          </w:p>
          <w:p w14:paraId="23E43E48"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(itching, rash, etc.) to any medicines or foods.</w:t>
            </w:r>
          </w:p>
          <w:p w14:paraId="06361E29" w14:textId="77777777" w:rsidR="002712BC" w:rsidRDefault="002712BC" w:rsidP="00C9502D">
            <w:pPr>
              <w:ind w:leftChars="150" w:left="315"/>
              <w:jc w:val="left"/>
            </w:pPr>
            <w:r w:rsidRPr="00507AE7">
              <w:rPr>
                <w:rFonts w:ascii="ＭＳ Ｐ明朝" w:eastAsia="ＭＳ Ｐ明朝" w:hAnsi="ＭＳ Ｐ明朝"/>
                <w:sz w:val="20"/>
                <w:szCs w:val="20"/>
              </w:rPr>
              <w:t>If you have renal or hepatic disorder.</w:t>
            </w:r>
          </w:p>
          <w:p w14:paraId="652FC1BD"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74286E5C"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2712BC" w14:paraId="65419C79" w14:textId="77777777" w:rsidTr="00C9502D">
        <w:trPr>
          <w:trHeight w:val="740"/>
        </w:trPr>
        <w:tc>
          <w:tcPr>
            <w:tcW w:w="9968" w:type="dxa"/>
            <w:gridSpan w:val="2"/>
          </w:tcPr>
          <w:p w14:paraId="0D8D44BC" w14:textId="77777777" w:rsidR="002712BC" w:rsidRPr="00244138" w:rsidRDefault="002712BC"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7F928E99" w14:textId="77777777" w:rsidR="002712BC" w:rsidRPr="007F7472" w:rsidRDefault="002712BC" w:rsidP="00C9502D">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Pr="001F6018">
              <w:rPr>
                <w:rFonts w:asciiTheme="majorHAnsi" w:eastAsiaTheme="majorEastAsia" w:hAnsiTheme="majorHAnsi" w:cs="游ゴシック Light"/>
                <w:sz w:val="20"/>
                <w:szCs w:val="20"/>
              </w:rPr>
              <w:t>Your dosing schedule prescribed by your doctor is</w:t>
            </w:r>
            <w:r>
              <w:rPr>
                <w:rFonts w:asciiTheme="majorHAnsi" w:eastAsiaTheme="majorEastAsia" w:hAnsiTheme="majorHAnsi" w:cs="游ゴシック Light"/>
                <w:sz w:val="20"/>
                <w:szCs w:val="20"/>
              </w:rPr>
              <w:t>((</w:t>
            </w:r>
            <w:r>
              <w:rPr>
                <w:rFonts w:asciiTheme="majorHAnsi" w:eastAsiaTheme="majorEastAsia" w:hAnsiTheme="majorHAnsi" w:cs="游ゴシック Light"/>
                <w:b/>
                <w:sz w:val="20"/>
                <w:szCs w:val="20"/>
              </w:rPr>
              <w:t xml:space="preserve">            </w:t>
            </w:r>
            <w:r w:rsidRPr="007F7472">
              <w:rPr>
                <w:rFonts w:ascii="ＭＳ Ｐ明朝" w:eastAsia="ＭＳ Ｐ明朝" w:hAnsi="ＭＳ Ｐ明朝"/>
                <w:sz w:val="20"/>
                <w:szCs w:val="20"/>
              </w:rPr>
              <w:t>to be written by a healthcare professional</w:t>
            </w:r>
            <w:r>
              <w:rPr>
                <w:rFonts w:asciiTheme="majorHAnsi" w:eastAsiaTheme="majorEastAsia" w:hAnsiTheme="majorHAnsi" w:cs="游ゴシック Light"/>
                <w:sz w:val="20"/>
                <w:szCs w:val="20"/>
              </w:rPr>
              <w:t>))</w:t>
            </w:r>
          </w:p>
          <w:p w14:paraId="34758D87"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u w:val="single"/>
              </w:rPr>
              <w:t>For ulcerative colitis (adults)</w:t>
            </w:r>
            <w:r w:rsidRPr="00507AE7">
              <w:rPr>
                <w:rFonts w:ascii="ＭＳ Ｐ明朝" w:eastAsia="ＭＳ Ｐ明朝" w:hAnsi="ＭＳ Ｐ明朝"/>
                <w:sz w:val="20"/>
                <w:szCs w:val="20"/>
              </w:rPr>
              <w:t>: In general, for adults, take 1,500 mg of the active ingredient daily in 3 divided doses after meals. The dosage may be adjusted according to the age or symptoms, but it should not exceed 2,250 mg per day. In the remission stage, however, you may be instructed to take the medicine once daily. In the active stage, however, you may be instructed to take the medicine 4,000 mg daily in 2 divided doses.</w:t>
            </w:r>
          </w:p>
          <w:p w14:paraId="1CC336F5" w14:textId="77777777" w:rsidR="002712BC" w:rsidRDefault="002712BC" w:rsidP="00C9502D">
            <w:pPr>
              <w:ind w:leftChars="150" w:left="315"/>
              <w:jc w:val="left"/>
            </w:pPr>
            <w:r w:rsidRPr="00507AE7">
              <w:rPr>
                <w:rFonts w:ascii="ＭＳ Ｐ明朝" w:eastAsia="ＭＳ Ｐ明朝" w:hAnsi="ＭＳ Ｐ明朝"/>
                <w:sz w:val="20"/>
                <w:szCs w:val="20"/>
                <w:u w:val="single"/>
              </w:rPr>
              <w:t>For ulcerative colitis (children)</w:t>
            </w:r>
            <w:r w:rsidRPr="00507AE7">
              <w:rPr>
                <w:rFonts w:ascii="ＭＳ Ｐ明朝" w:eastAsia="ＭＳ Ｐ明朝" w:hAnsi="ＭＳ Ｐ明朝"/>
                <w:sz w:val="20"/>
                <w:szCs w:val="20"/>
              </w:rPr>
              <w:t>: In general, for children, take 30 to 60 mg of the active ingredient per kilogram of body weight daily in 3 divided doses, after meals. The dosage may be adjusted according to the age or symptoms, but it should not exceed 2,250 mg per day.</w:t>
            </w:r>
          </w:p>
          <w:p w14:paraId="0820105A" w14:textId="77777777" w:rsidR="002712BC" w:rsidRDefault="002712BC" w:rsidP="00C9502D">
            <w:pPr>
              <w:ind w:leftChars="150" w:left="315"/>
              <w:jc w:val="left"/>
            </w:pPr>
            <w:r w:rsidRPr="00507AE7">
              <w:rPr>
                <w:rFonts w:ascii="ＭＳ Ｐ明朝" w:eastAsia="ＭＳ Ｐ明朝" w:hAnsi="ＭＳ Ｐ明朝"/>
                <w:sz w:val="20"/>
                <w:szCs w:val="20"/>
                <w:u w:val="single"/>
              </w:rPr>
              <w:t>For Crohn's disease (adults)</w:t>
            </w:r>
            <w:r w:rsidRPr="00507AE7">
              <w:rPr>
                <w:rFonts w:ascii="ＭＳ Ｐ明朝" w:eastAsia="ＭＳ Ｐ明朝" w:hAnsi="ＭＳ Ｐ明朝"/>
                <w:sz w:val="20"/>
                <w:szCs w:val="20"/>
              </w:rPr>
              <w:t>: In general, for adults, take 1,500 to 3,000 mg of the active ingredient daily in 3 divided doses, after meals. The dosage may be adjusted according to the age or symptoms.</w:t>
            </w:r>
          </w:p>
          <w:p w14:paraId="511FFAC7" w14:textId="77777777" w:rsidR="002712BC" w:rsidRDefault="002712BC" w:rsidP="00C9502D">
            <w:pPr>
              <w:ind w:leftChars="150" w:left="315"/>
              <w:jc w:val="left"/>
            </w:pPr>
            <w:r w:rsidRPr="00507AE7">
              <w:rPr>
                <w:rFonts w:ascii="ＭＳ Ｐ明朝" w:eastAsia="ＭＳ Ｐ明朝" w:hAnsi="ＭＳ Ｐ明朝"/>
                <w:sz w:val="20"/>
                <w:szCs w:val="20"/>
                <w:u w:val="single"/>
              </w:rPr>
              <w:t>For Crohn's disease (children)</w:t>
            </w:r>
            <w:r w:rsidRPr="00507AE7">
              <w:rPr>
                <w:rFonts w:ascii="ＭＳ Ｐ明朝" w:eastAsia="ＭＳ Ｐ明朝" w:hAnsi="ＭＳ Ｐ明朝"/>
                <w:sz w:val="20"/>
                <w:szCs w:val="20"/>
              </w:rPr>
              <w:t>: In general, for children, take 40 to 60 mg of the active ingredient per kilogram of body weight daily in 3 divided doses, after meals. The dosage may be adjusted according to the age or symptoms. This medicine contains 250 mg of the active ingredient in a tablet. In any case, be sure to follow the prescribed dosage.</w:t>
            </w:r>
          </w:p>
          <w:p w14:paraId="52E472F8"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You may split the medicine in half to take, however, the medicine regulates the release of the active ingredient, take it without chewing.</w:t>
            </w:r>
          </w:p>
          <w:p w14:paraId="211B634C"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take a dose as soon as possible when you remember that you missed a dose. However, if it is almost time for the next dose, skip the missed dose and continue your regular dosing schedule. You should not take two doses at one time.</w:t>
            </w:r>
          </w:p>
          <w:p w14:paraId="32BD0DDD"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take more than your prescribed dose, consult with your doctor or pharmacist.</w:t>
            </w:r>
          </w:p>
          <w:p w14:paraId="19C9940E" w14:textId="77777777" w:rsidR="002712BC" w:rsidRPr="00244138" w:rsidRDefault="002712BC" w:rsidP="00C9502D">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taking this medicine unless your doctor instructs you to do so.</w:t>
            </w:r>
          </w:p>
        </w:tc>
      </w:tr>
      <w:tr w:rsidR="002712BC" w14:paraId="21683E9C" w14:textId="77777777" w:rsidTr="00C9502D">
        <w:tc>
          <w:tcPr>
            <w:tcW w:w="9968" w:type="dxa"/>
            <w:gridSpan w:val="2"/>
          </w:tcPr>
          <w:p w14:paraId="211CC16C" w14:textId="77777777" w:rsidR="002712BC" w:rsidRPr="00244138" w:rsidRDefault="002712BC"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6735228D"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Sometimes you will find white object in your stool, but there is no need to worry as this is ethyl cellulose, an additive of this medicine.</w:t>
            </w:r>
          </w:p>
          <w:p w14:paraId="7C7B5EA6"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produce red-brown urine discoloration after contact with sodium hypochlorite bleach.</w:t>
            </w:r>
          </w:p>
          <w:p w14:paraId="23EB07EF"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To check for adverse reactions, kidney and liver function tests and blood tests may be performed during taking medicine period.</w:t>
            </w:r>
          </w:p>
          <w:p w14:paraId="0A9C1898"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p>
        </w:tc>
      </w:tr>
      <w:tr w:rsidR="002712BC" w14:paraId="22E8CCEA" w14:textId="77777777" w:rsidTr="00C9502D">
        <w:tc>
          <w:tcPr>
            <w:tcW w:w="9968" w:type="dxa"/>
            <w:gridSpan w:val="2"/>
          </w:tcPr>
          <w:p w14:paraId="3736B3C6" w14:textId="77777777" w:rsidR="002712BC" w:rsidRPr="00244138" w:rsidRDefault="002712BC"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489B893F" w14:textId="77777777" w:rsidR="002712BC" w:rsidRPr="00507AE7" w:rsidRDefault="002712BC" w:rsidP="00C9502D">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lastRenderedPageBreak/>
              <w:t>The most commonly reported adverse reactions include diarrhea, rash, bloody stool, melena, stomatitis and fever. If any of these symptoms occur, consult with your doctor or pharmacist.</w:t>
            </w:r>
          </w:p>
          <w:p w14:paraId="11ED1952" w14:textId="77777777" w:rsidR="002712BC" w:rsidRPr="00244138" w:rsidRDefault="002712BC" w:rsidP="00C9502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4FF113B0"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breathing difficulty, cough [interstitial lung disease]</w:t>
            </w:r>
          </w:p>
          <w:p w14:paraId="6E8D29EA"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fever, breathing difficulty, chest pain [myocarditis, pericarditis, pleuritis]</w:t>
            </w:r>
          </w:p>
          <w:p w14:paraId="388DF430"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edema, decreased urine output, general malaise [interstitial nephritis, nephrotic syndrome, deteriorated renal function, acute renal failure]</w:t>
            </w:r>
          </w:p>
          <w:p w14:paraId="38DDAAC8"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bleeding easily/difficult to stop bleeding, bruise, fever [aplastic anemia, pancytopenia, agranulocytosis, thrombocytopenia]</w:t>
            </w:r>
          </w:p>
          <w:p w14:paraId="2AED903A"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yellowing of the skin/white eye, nausea/vomiting, darker urine color [hepatitis, liver dysfunction, jaundice]</w:t>
            </w:r>
          </w:p>
          <w:p w14:paraId="76C2C52D"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severe pain in the upper abdomen or lower back, nausea/vomiting, weight loss [pancreatitis]</w:t>
            </w:r>
          </w:p>
          <w:p w14:paraId="291353D3"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high fever (over 38 degrees Celsius), bloodshot eyes, widespread reddened skin [toxic epidermal necrolysis (TEN), mucocutaneous ocular syndrome (Stevens-Johnsons syndrome)]</w:t>
            </w:r>
          </w:p>
          <w:p w14:paraId="65837E85"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widespread reddened skin, high fever (over 38 degrees Celsius), sore throat [drug-induced hypersensitivity syndrome]</w:t>
            </w:r>
          </w:p>
          <w:p w14:paraId="0099AF5A" w14:textId="77777777" w:rsidR="002712BC" w:rsidRPr="00244138" w:rsidRDefault="002712BC" w:rsidP="00C9502D">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2712BC" w14:paraId="27683AB9" w14:textId="77777777" w:rsidTr="00C9502D">
        <w:tc>
          <w:tcPr>
            <w:tcW w:w="9968" w:type="dxa"/>
            <w:gridSpan w:val="2"/>
          </w:tcPr>
          <w:p w14:paraId="5809EFD8" w14:textId="77777777" w:rsidR="002712BC" w:rsidRPr="00244138" w:rsidRDefault="002712BC" w:rsidP="00C9502D">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lastRenderedPageBreak/>
              <w:t>Storage conditions and other information</w:t>
            </w:r>
          </w:p>
          <w:p w14:paraId="104317B6"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at room temperature (1 to 30 degrees Celsius) away from direct sunlight and moisture.</w:t>
            </w:r>
          </w:p>
          <w:p w14:paraId="78F16200" w14:textId="77777777" w:rsidR="002712BC" w:rsidRDefault="002712BC" w:rsidP="00C9502D">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The medicine may be slightly colored during storage, however, the efficacy of the medicine does not change.</w:t>
            </w:r>
          </w:p>
          <w:p w14:paraId="5F49A5BD" w14:textId="77777777" w:rsidR="002712BC" w:rsidRPr="00507AE7" w:rsidRDefault="002712BC" w:rsidP="00C9502D">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seek advice of your pharmacy or medical institution. Do not give the unused medicines to others.</w:t>
            </w:r>
          </w:p>
        </w:tc>
      </w:tr>
      <w:tr w:rsidR="002712BC" w14:paraId="393AFE1B" w14:textId="77777777" w:rsidTr="00C9502D">
        <w:tc>
          <w:tcPr>
            <w:tcW w:w="9968" w:type="dxa"/>
            <w:gridSpan w:val="2"/>
          </w:tcPr>
          <w:p w14:paraId="64A196BC" w14:textId="77777777" w:rsidR="002712BC" w:rsidRDefault="002712BC" w:rsidP="00C9502D">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262087BC" w14:textId="77777777" w:rsidR="002712BC" w:rsidRDefault="002712BC" w:rsidP="00C9502D">
            <w:pPr>
              <w:rPr>
                <w:rFonts w:asciiTheme="minorEastAsia"/>
                <w:sz w:val="20"/>
                <w:szCs w:val="20"/>
              </w:rPr>
            </w:pPr>
          </w:p>
          <w:p w14:paraId="4903FE2E" w14:textId="77777777" w:rsidR="002712BC" w:rsidRPr="007D422F" w:rsidRDefault="002712BC" w:rsidP="00C9502D">
            <w:pPr>
              <w:rPr>
                <w:rFonts w:asciiTheme="majorEastAsia" w:eastAsiaTheme="majorEastAsia" w:hAnsiTheme="majorEastAsia"/>
                <w:sz w:val="20"/>
                <w:szCs w:val="20"/>
              </w:rPr>
            </w:pPr>
          </w:p>
        </w:tc>
      </w:tr>
    </w:tbl>
    <w:p w14:paraId="27333205" w14:textId="77777777" w:rsidR="002712BC" w:rsidRPr="00DB2351" w:rsidRDefault="002712BC" w:rsidP="002712BC">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p w14:paraId="4AC7E207" w14:textId="77777777" w:rsidR="007D422F" w:rsidRPr="002712BC" w:rsidRDefault="007D422F" w:rsidP="00D24830">
      <w:pPr>
        <w:jc w:val="left"/>
      </w:pPr>
    </w:p>
    <w:sectPr w:rsidR="007D422F" w:rsidRPr="002712BC" w:rsidSect="00D24830">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BDB1AF" w14:textId="77777777" w:rsidR="005676BB" w:rsidRDefault="005676BB" w:rsidP="005676BB">
      <w:r>
        <w:separator/>
      </w:r>
    </w:p>
  </w:endnote>
  <w:endnote w:type="continuationSeparator" w:id="0">
    <w:p w14:paraId="5D2871EC" w14:textId="77777777" w:rsidR="005676BB" w:rsidRDefault="005676BB"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DDF08"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9166E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9166E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3C8AC" w14:textId="77777777" w:rsidR="005676BB" w:rsidRDefault="005676BB" w:rsidP="005676BB">
      <w:r>
        <w:separator/>
      </w:r>
    </w:p>
  </w:footnote>
  <w:footnote w:type="continuationSeparator" w:id="0">
    <w:p w14:paraId="31FCC833" w14:textId="77777777" w:rsidR="005676BB" w:rsidRDefault="005676BB"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22F"/>
    <w:rsid w:val="000600ED"/>
    <w:rsid w:val="001103E5"/>
    <w:rsid w:val="001456F1"/>
    <w:rsid w:val="001D7781"/>
    <w:rsid w:val="002209A5"/>
    <w:rsid w:val="002376F2"/>
    <w:rsid w:val="002712BC"/>
    <w:rsid w:val="002A4A81"/>
    <w:rsid w:val="002B76BF"/>
    <w:rsid w:val="003071A2"/>
    <w:rsid w:val="003333EC"/>
    <w:rsid w:val="003F20F5"/>
    <w:rsid w:val="00547602"/>
    <w:rsid w:val="005676BB"/>
    <w:rsid w:val="006A40B0"/>
    <w:rsid w:val="00764B98"/>
    <w:rsid w:val="007B113F"/>
    <w:rsid w:val="007D422F"/>
    <w:rsid w:val="008B2922"/>
    <w:rsid w:val="009166E6"/>
    <w:rsid w:val="009C3775"/>
    <w:rsid w:val="00A31947"/>
    <w:rsid w:val="00AB2DE2"/>
    <w:rsid w:val="00BB5781"/>
    <w:rsid w:val="00D24830"/>
    <w:rsid w:val="00D94F0B"/>
    <w:rsid w:val="00E0621B"/>
    <w:rsid w:val="00EA6A65"/>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907A15"/>
  <w14:defaultImageDpi w14:val="0"/>
  <w15:docId w15:val="{799DFF01-9FB1-40F4-AEE5-D6A154F3A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483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1103E5"/>
    <w:rPr>
      <w:rFonts w:ascii="MS UI Gothic" w:eastAsia="MS UI Gothic"/>
      <w:sz w:val="18"/>
      <w:szCs w:val="18"/>
    </w:rPr>
  </w:style>
  <w:style w:type="character" w:customStyle="1" w:styleId="a9">
    <w:name w:val="見出しマップ (文字)"/>
    <w:basedOn w:val="a0"/>
    <w:link w:val="a8"/>
    <w:uiPriority w:val="99"/>
    <w:semiHidden/>
    <w:locked/>
    <w:rsid w:val="001103E5"/>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0E050-1EA1-400A-8216-11793E010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3066</Words>
  <Characters>5518</Characters>
  <Application>Microsoft Office Word</Application>
  <DocSecurity>0</DocSecurity>
  <Lines>45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メサラジン錠250mg「ケミファ」_くすりのしおり</dc:title>
  <dc:subject/>
  <cp:keywords/>
  <dc:description/>
  <cp:revision>3</cp:revision>
  <dcterms:created xsi:type="dcterms:W3CDTF">2024-06-21T05:52:00Z</dcterms:created>
  <dcterms:modified xsi:type="dcterms:W3CDTF">2024-06-21T05:53:00Z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6e9513-bdae-4ef2-aa87-1aa569934746_Enabled">
    <vt:lpwstr>true</vt:lpwstr>
  </property>
  <property fmtid="{D5CDD505-2E9C-101B-9397-08002B2CF9AE}" pid="3" name="MSIP_Label_916e9513-bdae-4ef2-aa87-1aa569934746_SetDate">
    <vt:lpwstr>2024-06-21T05:53:31Z</vt:lpwstr>
  </property>
  <property fmtid="{D5CDD505-2E9C-101B-9397-08002B2CF9AE}" pid="4" name="MSIP_Label_916e9513-bdae-4ef2-aa87-1aa569934746_Method">
    <vt:lpwstr>Standard</vt:lpwstr>
  </property>
  <property fmtid="{D5CDD505-2E9C-101B-9397-08002B2CF9AE}" pid="5" name="MSIP_Label_916e9513-bdae-4ef2-aa87-1aa569934746_Name">
    <vt:lpwstr>無制限</vt:lpwstr>
  </property>
  <property fmtid="{D5CDD505-2E9C-101B-9397-08002B2CF9AE}" pid="6" name="MSIP_Label_916e9513-bdae-4ef2-aa87-1aa569934746_SiteId">
    <vt:lpwstr>785a6546-678b-4527-845c-b1087e9f0f97</vt:lpwstr>
  </property>
  <property fmtid="{D5CDD505-2E9C-101B-9397-08002B2CF9AE}" pid="7" name="MSIP_Label_916e9513-bdae-4ef2-aa87-1aa569934746_ActionId">
    <vt:lpwstr>6d9da7b3-4949-4d86-96e2-14aceaa90caf</vt:lpwstr>
  </property>
  <property fmtid="{D5CDD505-2E9C-101B-9397-08002B2CF9AE}" pid="8" name="MSIP_Label_916e9513-bdae-4ef2-aa87-1aa569934746_ContentBits">
    <vt:lpwstr>0</vt:lpwstr>
  </property>
</Properties>
</file>