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10AB"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4EC53FEB"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0032055F"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12</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459FE23C" w14:textId="77777777" w:rsidTr="003F20F5">
        <w:tc>
          <w:tcPr>
            <w:tcW w:w="9968" w:type="dxa"/>
            <w:gridSpan w:val="2"/>
          </w:tcPr>
          <w:p w14:paraId="1A04CFAD"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2BA34D3E" w14:textId="77777777" w:rsidTr="009166E6">
        <w:trPr>
          <w:trHeight w:val="1134"/>
        </w:trPr>
        <w:tc>
          <w:tcPr>
            <w:tcW w:w="7807" w:type="dxa"/>
          </w:tcPr>
          <w:p w14:paraId="21B6FD75"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ラコサミド錠</w:t>
            </w:r>
            <w:r w:rsidRPr="000600ED">
              <w:rPr>
                <w:rFonts w:asciiTheme="majorEastAsia" w:eastAsiaTheme="majorEastAsia" w:hAnsiTheme="majorEastAsia"/>
                <w:b/>
                <w:sz w:val="24"/>
                <w:szCs w:val="24"/>
              </w:rPr>
              <w:t>50mg</w:t>
            </w:r>
            <w:r w:rsidRPr="000600ED">
              <w:rPr>
                <w:rFonts w:asciiTheme="majorEastAsia" w:eastAsiaTheme="majorEastAsia" w:hAnsiTheme="majorEastAsia" w:hint="eastAsia"/>
                <w:b/>
                <w:sz w:val="24"/>
                <w:szCs w:val="24"/>
              </w:rPr>
              <w:t>「ケミファ」</w:t>
            </w:r>
          </w:p>
          <w:p w14:paraId="04263F82"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ラコサミド</w:t>
            </w:r>
            <w:r w:rsidRPr="000600ED">
              <w:rPr>
                <w:rFonts w:asciiTheme="minorEastAsia" w:hAnsiTheme="minorEastAsia"/>
                <w:sz w:val="20"/>
                <w:szCs w:val="20"/>
              </w:rPr>
              <w:t>(Lacosamide)</w:t>
            </w:r>
          </w:p>
          <w:p w14:paraId="4A5F1513"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ピンク色の錠剤、長径</w:t>
            </w:r>
            <w:r w:rsidRPr="000600ED">
              <w:rPr>
                <w:rFonts w:asciiTheme="minorEastAsia" w:hAnsiTheme="minorEastAsia"/>
                <w:sz w:val="20"/>
                <w:szCs w:val="20"/>
              </w:rPr>
              <w:t>10.4mm</w:t>
            </w:r>
            <w:r w:rsidRPr="000600ED">
              <w:rPr>
                <w:rFonts w:asciiTheme="minorEastAsia" w:hAnsiTheme="minorEastAsia" w:hint="eastAsia"/>
                <w:sz w:val="20"/>
                <w:szCs w:val="20"/>
              </w:rPr>
              <w:t>、短径</w:t>
            </w:r>
            <w:r w:rsidRPr="000600ED">
              <w:rPr>
                <w:rFonts w:asciiTheme="minorEastAsia" w:hAnsiTheme="minorEastAsia"/>
                <w:sz w:val="20"/>
                <w:szCs w:val="20"/>
              </w:rPr>
              <w:t>4.9mm</w:t>
            </w:r>
            <w:r w:rsidRPr="000600ED">
              <w:rPr>
                <w:rFonts w:asciiTheme="minorEastAsia" w:hAnsiTheme="minorEastAsia" w:hint="eastAsia"/>
                <w:sz w:val="20"/>
                <w:szCs w:val="20"/>
              </w:rPr>
              <w:t>、厚さ</w:t>
            </w:r>
            <w:r w:rsidRPr="000600ED">
              <w:rPr>
                <w:rFonts w:asciiTheme="minorEastAsia" w:hAnsiTheme="minorEastAsia"/>
                <w:sz w:val="20"/>
                <w:szCs w:val="20"/>
              </w:rPr>
              <w:t>3.3mm</w:t>
            </w:r>
          </w:p>
          <w:p w14:paraId="3CB8523E"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ラコサミド錠</w:t>
            </w:r>
            <w:r w:rsidR="000600ED" w:rsidRPr="000600ED">
              <w:rPr>
                <w:rFonts w:asciiTheme="minorEastAsia" w:hAnsiTheme="minorEastAsia"/>
                <w:sz w:val="20"/>
                <w:szCs w:val="20"/>
              </w:rPr>
              <w:t>50mg</w:t>
            </w:r>
            <w:r w:rsidR="000600ED" w:rsidRPr="000600ED">
              <w:rPr>
                <w:rFonts w:asciiTheme="minorEastAsia" w:hAnsiTheme="minorEastAsia" w:hint="eastAsia"/>
                <w:sz w:val="20"/>
                <w:szCs w:val="20"/>
              </w:rPr>
              <w:t>「ケミファ」、ラコサミド、</w:t>
            </w:r>
            <w:r w:rsidR="000600ED" w:rsidRPr="000600ED">
              <w:rPr>
                <w:rFonts w:asciiTheme="minorEastAsia" w:hAnsiTheme="minorEastAsia"/>
                <w:sz w:val="20"/>
                <w:szCs w:val="20"/>
              </w:rPr>
              <w:t>50</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 xml:space="preserve">Lacosamide Tablets 50mg </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Chemiphar</w:t>
            </w:r>
            <w:r w:rsidR="000600ED" w:rsidRPr="000600ED">
              <w:rPr>
                <w:rFonts w:asciiTheme="minorEastAsia" w:hAnsiTheme="minorEastAsia" w:hint="eastAsia"/>
                <w:sz w:val="20"/>
                <w:szCs w:val="20"/>
              </w:rPr>
              <w:t>”、ラコサミド「ケミファ」、</w:t>
            </w:r>
            <w:r w:rsidR="000600ED" w:rsidRPr="000600ED">
              <w:rPr>
                <w:rFonts w:asciiTheme="minorEastAsia" w:hAnsiTheme="minorEastAsia"/>
                <w:sz w:val="20"/>
                <w:szCs w:val="20"/>
              </w:rPr>
              <w:t>50</w:t>
            </w:r>
          </w:p>
        </w:tc>
        <w:tc>
          <w:tcPr>
            <w:tcW w:w="2161" w:type="dxa"/>
          </w:tcPr>
          <w:p w14:paraId="0637F449"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768F8483" wp14:editId="7ADB94D1">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29F492DD" w14:textId="77777777" w:rsidTr="003F20F5">
        <w:tc>
          <w:tcPr>
            <w:tcW w:w="9968" w:type="dxa"/>
            <w:gridSpan w:val="2"/>
          </w:tcPr>
          <w:p w14:paraId="32D70A4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EB14B6E" w14:textId="77777777" w:rsidR="00314A8E" w:rsidRDefault="000600ED" w:rsidP="003F20F5">
            <w:pPr>
              <w:ind w:leftChars="100" w:left="210"/>
              <w:jc w:val="left"/>
            </w:pPr>
            <w:r w:rsidRPr="000600ED">
              <w:rPr>
                <w:rFonts w:asciiTheme="minorEastAsia" w:hAnsiTheme="minorEastAsia" w:hint="eastAsia"/>
                <w:sz w:val="20"/>
                <w:szCs w:val="20"/>
              </w:rPr>
              <w:t>脳内の神経の過剰な興奮を抑えて安定化させることによって、てんかんの発作を抑制します。</w:t>
            </w:r>
          </w:p>
          <w:p w14:paraId="72A7C9C6"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通常、てんかんの部分発作の治療、または他の抗てんかん薬と併用して強直間代発作の治療に用いられます。</w:t>
            </w:r>
          </w:p>
        </w:tc>
      </w:tr>
      <w:tr w:rsidR="00D24830" w14:paraId="33542AA6" w14:textId="77777777" w:rsidTr="003F20F5">
        <w:tc>
          <w:tcPr>
            <w:tcW w:w="9968" w:type="dxa"/>
            <w:gridSpan w:val="2"/>
          </w:tcPr>
          <w:p w14:paraId="26B2EB5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8FB7E9D" w14:textId="77777777" w:rsidR="00314A8E"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・以前に薬や食べ物で、かゆみ、発疹などのアレルギー症状が出たことがある。肝障害、腎障害がある。</w:t>
            </w:r>
          </w:p>
          <w:p w14:paraId="2335193D" w14:textId="77777777" w:rsidR="00314A8E" w:rsidRDefault="000600ED" w:rsidP="001456F1">
            <w:pPr>
              <w:ind w:leftChars="100" w:left="410" w:hangingChars="100" w:hanging="200"/>
            </w:pPr>
            <w:r w:rsidRPr="000600ED">
              <w:rPr>
                <w:rFonts w:asciiTheme="minorEastAsia" w:hAnsiTheme="minorEastAsia" w:hint="eastAsia"/>
                <w:sz w:val="20"/>
                <w:szCs w:val="20"/>
              </w:rPr>
              <w:t>・妊娠または授乳中</w:t>
            </w:r>
          </w:p>
          <w:p w14:paraId="47160896"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7E716263" w14:textId="77777777" w:rsidTr="003F20F5">
        <w:trPr>
          <w:trHeight w:val="788"/>
        </w:trPr>
        <w:tc>
          <w:tcPr>
            <w:tcW w:w="9968" w:type="dxa"/>
            <w:gridSpan w:val="2"/>
          </w:tcPr>
          <w:p w14:paraId="3EF4F91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57040E6A"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51A9E168" w14:textId="77777777" w:rsidR="00314A8E"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成人</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50mg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回服用より開始し、その後</w:t>
            </w:r>
            <w:r w:rsidRPr="000600ED">
              <w:rPr>
                <w:rFonts w:asciiTheme="minorEastAsia" w:hAnsiTheme="minorEastAsia"/>
                <w:sz w:val="20"/>
                <w:szCs w:val="20"/>
              </w:rPr>
              <w:t>1</w:t>
            </w:r>
            <w:r w:rsidRPr="000600ED">
              <w:rPr>
                <w:rFonts w:asciiTheme="minorEastAsia" w:hAnsiTheme="minorEastAsia" w:hint="eastAsia"/>
                <w:sz w:val="20"/>
                <w:szCs w:val="20"/>
              </w:rPr>
              <w:t>週間以上の間隔をあけて増量され、維持用量は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回服用します。症状により適宜増減されますが、増量は</w:t>
            </w:r>
            <w:r w:rsidRPr="000600ED">
              <w:rPr>
                <w:rFonts w:asciiTheme="minorEastAsia" w:hAnsiTheme="minorEastAsia"/>
                <w:sz w:val="20"/>
                <w:szCs w:val="20"/>
              </w:rPr>
              <w:t>1</w:t>
            </w:r>
            <w:r w:rsidRPr="000600ED">
              <w:rPr>
                <w:rFonts w:asciiTheme="minorEastAsia" w:hAnsiTheme="minorEastAsia" w:hint="eastAsia"/>
                <w:sz w:val="20"/>
                <w:szCs w:val="20"/>
              </w:rPr>
              <w:t>週間以上の間隔をあけて</w:t>
            </w:r>
            <w:r w:rsidRPr="000600ED">
              <w:rPr>
                <w:rFonts w:asciiTheme="minorEastAsia" w:hAnsiTheme="minorEastAsia"/>
                <w:sz w:val="20"/>
                <w:szCs w:val="20"/>
              </w:rPr>
              <w:t>1</w:t>
            </w:r>
            <w:r w:rsidRPr="000600ED">
              <w:rPr>
                <w:rFonts w:asciiTheme="minorEastAsia" w:hAnsiTheme="minorEastAsia" w:hint="eastAsia"/>
                <w:sz w:val="20"/>
                <w:szCs w:val="20"/>
              </w:rPr>
              <w:t>日用量として</w:t>
            </w:r>
            <w:r w:rsidRPr="000600ED">
              <w:rPr>
                <w:rFonts w:asciiTheme="minorEastAsia" w:hAnsiTheme="minorEastAsia"/>
                <w:sz w:val="20"/>
                <w:szCs w:val="20"/>
              </w:rPr>
              <w:t>100mg</w:t>
            </w:r>
            <w:r w:rsidRPr="000600ED">
              <w:rPr>
                <w:rFonts w:asciiTheme="minorEastAsia" w:hAnsiTheme="minorEastAsia" w:hint="eastAsia"/>
                <w:sz w:val="20"/>
                <w:szCs w:val="20"/>
              </w:rPr>
              <w:t>以下ずつ行われます。</w:t>
            </w:r>
            <w:r w:rsidRPr="000600ED">
              <w:rPr>
                <w:rFonts w:asciiTheme="minorEastAsia" w:hAnsiTheme="minorEastAsia"/>
                <w:sz w:val="20"/>
                <w:szCs w:val="20"/>
              </w:rPr>
              <w:t>1</w:t>
            </w:r>
            <w:r w:rsidRPr="000600ED">
              <w:rPr>
                <w:rFonts w:asciiTheme="minorEastAsia" w:hAnsiTheme="minorEastAsia" w:hint="eastAsia"/>
                <w:sz w:val="20"/>
                <w:szCs w:val="20"/>
              </w:rPr>
              <w:t>日の最高用量は</w:t>
            </w:r>
            <w:r w:rsidRPr="000600ED">
              <w:rPr>
                <w:rFonts w:asciiTheme="minorEastAsia" w:hAnsiTheme="minorEastAsia"/>
                <w:sz w:val="20"/>
                <w:szCs w:val="20"/>
              </w:rPr>
              <w:t>400mg</w:t>
            </w:r>
            <w:r w:rsidRPr="000600ED">
              <w:rPr>
                <w:rFonts w:asciiTheme="minorEastAsia" w:hAnsiTheme="minorEastAsia" w:hint="eastAsia"/>
                <w:sz w:val="20"/>
                <w:szCs w:val="20"/>
              </w:rPr>
              <w:t>までです。</w:t>
            </w:r>
          </w:p>
          <w:p w14:paraId="7D393802" w14:textId="77777777" w:rsidR="00314A8E" w:rsidRDefault="000600ED" w:rsidP="002B76BF">
            <w:pPr>
              <w:ind w:leftChars="200" w:left="420"/>
            </w:pPr>
            <w:r w:rsidRPr="000600ED">
              <w:rPr>
                <w:rFonts w:asciiTheme="minorEastAsia" w:hAnsiTheme="minorEastAsia" w:hint="eastAsia"/>
                <w:sz w:val="20"/>
                <w:szCs w:val="20"/>
                <w:u w:val="single"/>
              </w:rPr>
              <w:t>小児</w:t>
            </w:r>
            <w:r w:rsidRPr="000600ED">
              <w:rPr>
                <w:rFonts w:asciiTheme="minorEastAsia" w:hAnsiTheme="minorEastAsia" w:hint="eastAsia"/>
                <w:sz w:val="20"/>
                <w:szCs w:val="20"/>
              </w:rPr>
              <w:t>：通常、</w:t>
            </w:r>
            <w:r w:rsidRPr="000600ED">
              <w:rPr>
                <w:rFonts w:asciiTheme="minorEastAsia" w:hAnsiTheme="minorEastAsia"/>
                <w:sz w:val="20"/>
                <w:szCs w:val="20"/>
              </w:rPr>
              <w:t>4</w:t>
            </w:r>
            <w:r w:rsidRPr="000600ED">
              <w:rPr>
                <w:rFonts w:asciiTheme="minorEastAsia" w:hAnsiTheme="minorEastAsia" w:hint="eastAsia"/>
                <w:sz w:val="20"/>
                <w:szCs w:val="20"/>
              </w:rPr>
              <w:t>歳以上の小児は主成分として</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2mg/kg</w:t>
            </w:r>
            <w:r w:rsidRPr="000600ED">
              <w:rPr>
                <w:rFonts w:asciiTheme="minorEastAsia" w:hAnsiTheme="minorEastAsia" w:hint="eastAsia"/>
                <w:sz w:val="20"/>
                <w:szCs w:val="20"/>
              </w:rPr>
              <w:t>より開始し、その後</w:t>
            </w:r>
            <w:r w:rsidRPr="000600ED">
              <w:rPr>
                <w:rFonts w:asciiTheme="minorEastAsia" w:hAnsiTheme="minorEastAsia"/>
                <w:sz w:val="20"/>
                <w:szCs w:val="20"/>
              </w:rPr>
              <w:t>1</w:t>
            </w:r>
            <w:r w:rsidRPr="000600ED">
              <w:rPr>
                <w:rFonts w:asciiTheme="minorEastAsia" w:hAnsiTheme="minorEastAsia" w:hint="eastAsia"/>
                <w:sz w:val="20"/>
                <w:szCs w:val="20"/>
              </w:rPr>
              <w:t>週間以上の間隔をあけて</w:t>
            </w:r>
            <w:r w:rsidRPr="000600ED">
              <w:rPr>
                <w:rFonts w:asciiTheme="minorEastAsia" w:hAnsiTheme="minorEastAsia"/>
                <w:sz w:val="20"/>
                <w:szCs w:val="20"/>
              </w:rPr>
              <w:t>1</w:t>
            </w:r>
            <w:r w:rsidRPr="000600ED">
              <w:rPr>
                <w:rFonts w:asciiTheme="minorEastAsia" w:hAnsiTheme="minorEastAsia" w:hint="eastAsia"/>
                <w:sz w:val="20"/>
                <w:szCs w:val="20"/>
              </w:rPr>
              <w:t>日用量として</w:t>
            </w:r>
            <w:r w:rsidRPr="000600ED">
              <w:rPr>
                <w:rFonts w:asciiTheme="minorEastAsia" w:hAnsiTheme="minorEastAsia"/>
                <w:sz w:val="20"/>
                <w:szCs w:val="20"/>
              </w:rPr>
              <w:t>2mg/kg</w:t>
            </w:r>
            <w:r w:rsidRPr="000600ED">
              <w:rPr>
                <w:rFonts w:asciiTheme="minorEastAsia" w:hAnsiTheme="minorEastAsia" w:hint="eastAsia"/>
                <w:sz w:val="20"/>
                <w:szCs w:val="20"/>
              </w:rPr>
              <w:t>ずつ増量され、維持用量は体重</w:t>
            </w:r>
            <w:r w:rsidRPr="000600ED">
              <w:rPr>
                <w:rFonts w:asciiTheme="minorEastAsia" w:hAnsiTheme="minorEastAsia"/>
                <w:sz w:val="20"/>
                <w:szCs w:val="20"/>
              </w:rPr>
              <w:t>30kg</w:t>
            </w:r>
            <w:r w:rsidRPr="000600ED">
              <w:rPr>
                <w:rFonts w:asciiTheme="minorEastAsia" w:hAnsiTheme="minorEastAsia" w:hint="eastAsia"/>
                <w:sz w:val="20"/>
                <w:szCs w:val="20"/>
              </w:rPr>
              <w:t>未満の小児は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6mg/kg</w:t>
            </w:r>
            <w:r w:rsidRPr="000600ED">
              <w:rPr>
                <w:rFonts w:asciiTheme="minorEastAsia" w:hAnsiTheme="minorEastAsia" w:hint="eastAsia"/>
                <w:sz w:val="20"/>
                <w:szCs w:val="20"/>
              </w:rPr>
              <w:t>、体重</w:t>
            </w:r>
            <w:r w:rsidRPr="000600ED">
              <w:rPr>
                <w:rFonts w:asciiTheme="minorEastAsia" w:hAnsiTheme="minorEastAsia"/>
                <w:sz w:val="20"/>
                <w:szCs w:val="20"/>
              </w:rPr>
              <w:t>30kg</w:t>
            </w:r>
            <w:r w:rsidRPr="000600ED">
              <w:rPr>
                <w:rFonts w:asciiTheme="minorEastAsia" w:hAnsiTheme="minorEastAsia" w:hint="eastAsia"/>
                <w:sz w:val="20"/>
                <w:szCs w:val="20"/>
              </w:rPr>
              <w:t>以上</w:t>
            </w:r>
            <w:r w:rsidRPr="000600ED">
              <w:rPr>
                <w:rFonts w:asciiTheme="minorEastAsia" w:hAnsiTheme="minorEastAsia"/>
                <w:sz w:val="20"/>
                <w:szCs w:val="20"/>
              </w:rPr>
              <w:t>50kg</w:t>
            </w:r>
            <w:r w:rsidRPr="000600ED">
              <w:rPr>
                <w:rFonts w:asciiTheme="minorEastAsia" w:hAnsiTheme="minorEastAsia" w:hint="eastAsia"/>
                <w:sz w:val="20"/>
                <w:szCs w:val="20"/>
              </w:rPr>
              <w:t>未満の小児は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4mg/kg</w:t>
            </w:r>
            <w:r w:rsidRPr="000600ED">
              <w:rPr>
                <w:rFonts w:asciiTheme="minorEastAsia" w:hAnsiTheme="minorEastAsia" w:hint="eastAsia"/>
                <w:sz w:val="20"/>
                <w:szCs w:val="20"/>
              </w:rPr>
              <w:t>を、いずれも</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回に分けて服用します。なお、症状により体重</w:t>
            </w:r>
            <w:r w:rsidRPr="000600ED">
              <w:rPr>
                <w:rFonts w:asciiTheme="minorEastAsia" w:hAnsiTheme="minorEastAsia"/>
                <w:sz w:val="20"/>
                <w:szCs w:val="20"/>
              </w:rPr>
              <w:t>30kg</w:t>
            </w:r>
            <w:r w:rsidRPr="000600ED">
              <w:rPr>
                <w:rFonts w:asciiTheme="minorEastAsia" w:hAnsiTheme="minorEastAsia" w:hint="eastAsia"/>
                <w:sz w:val="20"/>
                <w:szCs w:val="20"/>
              </w:rPr>
              <w:t>未満の小児は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12mg/kg</w:t>
            </w:r>
            <w:r w:rsidRPr="000600ED">
              <w:rPr>
                <w:rFonts w:asciiTheme="minorEastAsia" w:hAnsiTheme="minorEastAsia" w:hint="eastAsia"/>
                <w:sz w:val="20"/>
                <w:szCs w:val="20"/>
              </w:rPr>
              <w:t>、体重</w:t>
            </w:r>
            <w:r w:rsidRPr="000600ED">
              <w:rPr>
                <w:rFonts w:asciiTheme="minorEastAsia" w:hAnsiTheme="minorEastAsia"/>
                <w:sz w:val="20"/>
                <w:szCs w:val="20"/>
              </w:rPr>
              <w:t>30kg</w:t>
            </w:r>
            <w:r w:rsidRPr="000600ED">
              <w:rPr>
                <w:rFonts w:asciiTheme="minorEastAsia" w:hAnsiTheme="minorEastAsia" w:hint="eastAsia"/>
                <w:sz w:val="20"/>
                <w:szCs w:val="20"/>
              </w:rPr>
              <w:t>以上</w:t>
            </w:r>
            <w:r w:rsidRPr="000600ED">
              <w:rPr>
                <w:rFonts w:asciiTheme="minorEastAsia" w:hAnsiTheme="minorEastAsia"/>
                <w:sz w:val="20"/>
                <w:szCs w:val="20"/>
              </w:rPr>
              <w:t>50kg</w:t>
            </w:r>
            <w:r w:rsidRPr="000600ED">
              <w:rPr>
                <w:rFonts w:asciiTheme="minorEastAsia" w:hAnsiTheme="minorEastAsia" w:hint="eastAsia"/>
                <w:sz w:val="20"/>
                <w:szCs w:val="20"/>
              </w:rPr>
              <w:t>未満の小児は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8mg/kg</w:t>
            </w:r>
            <w:r w:rsidRPr="000600ED">
              <w:rPr>
                <w:rFonts w:asciiTheme="minorEastAsia" w:hAnsiTheme="minorEastAsia" w:hint="eastAsia"/>
                <w:sz w:val="20"/>
                <w:szCs w:val="20"/>
              </w:rPr>
              <w:t>を超えない範囲で適宜増減されますが、増量は</w:t>
            </w:r>
            <w:r w:rsidRPr="000600ED">
              <w:rPr>
                <w:rFonts w:asciiTheme="minorEastAsia" w:hAnsiTheme="minorEastAsia"/>
                <w:sz w:val="20"/>
                <w:szCs w:val="20"/>
              </w:rPr>
              <w:t>1</w:t>
            </w:r>
            <w:r w:rsidRPr="000600ED">
              <w:rPr>
                <w:rFonts w:asciiTheme="minorEastAsia" w:hAnsiTheme="minorEastAsia" w:hint="eastAsia"/>
                <w:sz w:val="20"/>
                <w:szCs w:val="20"/>
              </w:rPr>
              <w:t>週間以上の間隔をあけて</w:t>
            </w:r>
            <w:r w:rsidRPr="000600ED">
              <w:rPr>
                <w:rFonts w:asciiTheme="minorEastAsia" w:hAnsiTheme="minorEastAsia"/>
                <w:sz w:val="20"/>
                <w:szCs w:val="20"/>
              </w:rPr>
              <w:t>1</w:t>
            </w:r>
            <w:r w:rsidRPr="000600ED">
              <w:rPr>
                <w:rFonts w:asciiTheme="minorEastAsia" w:hAnsiTheme="minorEastAsia" w:hint="eastAsia"/>
                <w:sz w:val="20"/>
                <w:szCs w:val="20"/>
              </w:rPr>
              <w:t>日用量として</w:t>
            </w:r>
            <w:r w:rsidRPr="000600ED">
              <w:rPr>
                <w:rFonts w:asciiTheme="minorEastAsia" w:hAnsiTheme="minorEastAsia"/>
                <w:sz w:val="20"/>
                <w:szCs w:val="20"/>
              </w:rPr>
              <w:t>2mg/kg</w:t>
            </w:r>
            <w:r w:rsidRPr="000600ED">
              <w:rPr>
                <w:rFonts w:asciiTheme="minorEastAsia" w:hAnsiTheme="minorEastAsia" w:hint="eastAsia"/>
                <w:sz w:val="20"/>
                <w:szCs w:val="20"/>
              </w:rPr>
              <w:t>以下ずつ行われます。ただし、体重</w:t>
            </w:r>
            <w:r w:rsidRPr="000600ED">
              <w:rPr>
                <w:rFonts w:asciiTheme="minorEastAsia" w:hAnsiTheme="minorEastAsia"/>
                <w:sz w:val="20"/>
                <w:szCs w:val="20"/>
              </w:rPr>
              <w:t>50kg</w:t>
            </w:r>
            <w:r w:rsidRPr="000600ED">
              <w:rPr>
                <w:rFonts w:asciiTheme="minorEastAsia" w:hAnsiTheme="minorEastAsia" w:hint="eastAsia"/>
                <w:sz w:val="20"/>
                <w:szCs w:val="20"/>
              </w:rPr>
              <w:t>以上の小児では、成人と同じ用法・用量を用います。</w:t>
            </w:r>
          </w:p>
          <w:p w14:paraId="17268DC7" w14:textId="77777777" w:rsidR="00314A8E" w:rsidRDefault="000600ED" w:rsidP="002B76BF">
            <w:pPr>
              <w:ind w:leftChars="200" w:left="420"/>
            </w:pPr>
            <w:r w:rsidRPr="000600ED">
              <w:rPr>
                <w:rFonts w:asciiTheme="minorEastAsia" w:hAnsiTheme="minorEastAsia" w:hint="eastAsia"/>
                <w:sz w:val="20"/>
                <w:szCs w:val="20"/>
              </w:rPr>
              <w:t>本剤は</w:t>
            </w:r>
            <w:r w:rsidRPr="000600ED">
              <w:rPr>
                <w:rFonts w:asciiTheme="minorEastAsia" w:hAnsiTheme="minorEastAsia"/>
                <w:sz w:val="20"/>
                <w:szCs w:val="20"/>
              </w:rPr>
              <w:t>1</w:t>
            </w:r>
            <w:r w:rsidRPr="000600ED">
              <w:rPr>
                <w:rFonts w:asciiTheme="minorEastAsia" w:hAnsiTheme="minorEastAsia" w:hint="eastAsia"/>
                <w:sz w:val="20"/>
                <w:szCs w:val="20"/>
              </w:rPr>
              <w:t>錠中に主成分</w:t>
            </w:r>
            <w:r w:rsidRPr="000600ED">
              <w:rPr>
                <w:rFonts w:asciiTheme="minorEastAsia" w:hAnsiTheme="minorEastAsia"/>
                <w:sz w:val="20"/>
                <w:szCs w:val="20"/>
              </w:rPr>
              <w:t>50mg</w:t>
            </w:r>
            <w:r w:rsidRPr="000600ED">
              <w:rPr>
                <w:rFonts w:asciiTheme="minorEastAsia" w:hAnsiTheme="minorEastAsia" w:hint="eastAsia"/>
                <w:sz w:val="20"/>
                <w:szCs w:val="20"/>
              </w:rPr>
              <w:t>を含有します。いずれの場合も、必ず指示された服用方法に従ってください。</w:t>
            </w:r>
          </w:p>
          <w:p w14:paraId="3D19D83F" w14:textId="77777777" w:rsidR="00314A8E" w:rsidRDefault="000600ED" w:rsidP="001456F1">
            <w:pPr>
              <w:ind w:leftChars="100" w:left="410" w:hangingChars="100" w:hanging="200"/>
            </w:pPr>
            <w:r w:rsidRPr="000600ED">
              <w:rPr>
                <w:rFonts w:asciiTheme="minorEastAsia" w:hAnsiTheme="minorEastAsia" w:hint="eastAsia"/>
                <w:sz w:val="20"/>
                <w:szCs w:val="20"/>
              </w:rPr>
              <w:t>・飲み忘れた場合は、気がついた時に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回分を飲んでください。ただし、次の飲む時間が</w:t>
            </w:r>
            <w:r w:rsidRPr="000600ED">
              <w:rPr>
                <w:rFonts w:asciiTheme="minorEastAsia" w:hAnsiTheme="minorEastAsia"/>
                <w:sz w:val="20"/>
                <w:szCs w:val="20"/>
              </w:rPr>
              <w:t>6</w:t>
            </w:r>
            <w:r w:rsidRPr="000600ED">
              <w:rPr>
                <w:rFonts w:asciiTheme="minorEastAsia" w:hAnsiTheme="minorEastAsia" w:hint="eastAsia"/>
                <w:sz w:val="20"/>
                <w:szCs w:val="20"/>
              </w:rPr>
              <w:t>時間以内の場合は</w:t>
            </w:r>
            <w:r w:rsidRPr="000600ED">
              <w:rPr>
                <w:rFonts w:asciiTheme="minorEastAsia" w:hAnsiTheme="minorEastAsia"/>
                <w:sz w:val="20"/>
                <w:szCs w:val="20"/>
              </w:rPr>
              <w:t>1</w:t>
            </w:r>
            <w:r w:rsidRPr="000600ED">
              <w:rPr>
                <w:rFonts w:asciiTheme="minorEastAsia" w:hAnsiTheme="minorEastAsia" w:hint="eastAsia"/>
                <w:sz w:val="20"/>
                <w:szCs w:val="20"/>
              </w:rPr>
              <w:t>回とばして、次の時間に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2389B145" w14:textId="77777777" w:rsidR="00314A8E"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7462695F"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205C79C9" w14:textId="77777777" w:rsidTr="003F20F5">
        <w:tc>
          <w:tcPr>
            <w:tcW w:w="9968" w:type="dxa"/>
            <w:gridSpan w:val="2"/>
          </w:tcPr>
          <w:p w14:paraId="5ED859F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2D0119A6" w14:textId="77777777" w:rsidR="00314A8E" w:rsidRDefault="000600ED" w:rsidP="003F20F5">
            <w:pPr>
              <w:ind w:leftChars="100" w:left="410" w:hangingChars="100" w:hanging="200"/>
              <w:jc w:val="left"/>
            </w:pPr>
            <w:r w:rsidRPr="000600ED">
              <w:rPr>
                <w:rFonts w:asciiTheme="minorEastAsia" w:hAnsiTheme="minorEastAsia" w:hint="eastAsia"/>
                <w:sz w:val="20"/>
                <w:szCs w:val="20"/>
              </w:rPr>
              <w:t>・服用中は、浮動性めまい、霧視、眠気、注意力・集中力・反射運動能力などの低下などがあらわれることがありますので、自動車の運転など、危険を伴う機械の操作はしないでください。</w:t>
            </w:r>
          </w:p>
          <w:p w14:paraId="1E41CDDF" w14:textId="77777777" w:rsidR="00314A8E" w:rsidRDefault="000600ED" w:rsidP="001456F1">
            <w:pPr>
              <w:ind w:leftChars="100" w:left="410" w:hangingChars="100" w:hanging="200"/>
            </w:pPr>
            <w:r w:rsidRPr="000600ED">
              <w:rPr>
                <w:rFonts w:asciiTheme="minorEastAsia" w:hAnsiTheme="minorEastAsia" w:hint="eastAsia"/>
                <w:sz w:val="20"/>
                <w:szCs w:val="20"/>
              </w:rPr>
              <w:t>・心臓に障害のある患者さん、脈を遅くする作用をもつ薬などを使用している患者さんは、この薬の使用中、心電図検査を行うことがあります。その場合には、指定された日時に検査を受けてください。</w:t>
            </w:r>
          </w:p>
          <w:p w14:paraId="5D83B24F" w14:textId="77777777" w:rsidR="00D24830" w:rsidRPr="000600ED" w:rsidRDefault="00D24830" w:rsidP="001456F1">
            <w:pPr>
              <w:ind w:leftChars="100" w:left="410" w:hangingChars="100" w:hanging="200"/>
              <w:rPr>
                <w:rFonts w:asciiTheme="minorEastAsia"/>
                <w:sz w:val="20"/>
                <w:szCs w:val="20"/>
              </w:rPr>
            </w:pPr>
          </w:p>
        </w:tc>
      </w:tr>
      <w:tr w:rsidR="00D24830" w14:paraId="0F096701" w14:textId="77777777" w:rsidTr="003F20F5">
        <w:tc>
          <w:tcPr>
            <w:tcW w:w="9968" w:type="dxa"/>
            <w:gridSpan w:val="2"/>
          </w:tcPr>
          <w:p w14:paraId="16B8DBE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4CD801A2"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主な副作用として、浮動性めまい、頭痛、傾眠、吐き気、嘔吐、疲労、回転性めまい、振戦などが報告されています。このような症状に気づいたら、担当の医師または薬剤師に相談してください。</w:t>
            </w:r>
          </w:p>
          <w:p w14:paraId="15C374D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0666903D"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27B81AC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・脈拍の異常、息切れ、気を失う</w:t>
            </w:r>
            <w:r w:rsidRPr="000600ED">
              <w:rPr>
                <w:rFonts w:asciiTheme="minorEastAsia" w:hAnsiTheme="minorEastAsia"/>
                <w:sz w:val="20"/>
                <w:szCs w:val="20"/>
              </w:rPr>
              <w:t xml:space="preserve"> [</w:t>
            </w:r>
            <w:r w:rsidRPr="000600ED">
              <w:rPr>
                <w:rFonts w:asciiTheme="minorEastAsia" w:hAnsiTheme="minorEastAsia" w:hint="eastAsia"/>
                <w:sz w:val="20"/>
                <w:szCs w:val="20"/>
              </w:rPr>
              <w:t>房室ブロック、徐脈、失神</w:t>
            </w:r>
            <w:r w:rsidRPr="000600ED">
              <w:rPr>
                <w:rFonts w:asciiTheme="minorEastAsia" w:hAnsiTheme="minorEastAsia"/>
                <w:sz w:val="20"/>
                <w:szCs w:val="20"/>
              </w:rPr>
              <w:t>]</w:t>
            </w:r>
          </w:p>
          <w:p w14:paraId="5CE7002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・発熱、紅斑、水疱・びらん</w:t>
            </w:r>
            <w:r w:rsidRPr="000600ED">
              <w:rPr>
                <w:rFonts w:asciiTheme="minorEastAsia" w:hAnsiTheme="minorEastAsia"/>
                <w:sz w:val="20"/>
                <w:szCs w:val="20"/>
              </w:rPr>
              <w:t xml:space="preserve"> [</w:t>
            </w:r>
            <w:r w:rsidRPr="000600ED">
              <w:rPr>
                <w:rFonts w:asciiTheme="minorEastAsia" w:hAnsiTheme="minorEastAsia" w:hint="eastAsia"/>
                <w:sz w:val="20"/>
                <w:szCs w:val="20"/>
              </w:rPr>
              <w:t>中毒性表皮壊死融解症、皮膚粘膜眼症候群</w:t>
            </w:r>
            <w:r w:rsidRPr="000600ED">
              <w:rPr>
                <w:rFonts w:asciiTheme="minorEastAsia" w:hAnsiTheme="minorEastAsia"/>
                <w:sz w:val="20"/>
                <w:szCs w:val="20"/>
              </w:rPr>
              <w:t>]</w:t>
            </w:r>
          </w:p>
          <w:p w14:paraId="24FCDDAA"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・発疹、発熱、リンパ節の膨大</w:t>
            </w:r>
            <w:r w:rsidRPr="000600ED">
              <w:rPr>
                <w:rFonts w:asciiTheme="minorEastAsia" w:hAnsiTheme="minorEastAsia"/>
                <w:sz w:val="20"/>
                <w:szCs w:val="20"/>
              </w:rPr>
              <w:t xml:space="preserve"> [</w:t>
            </w:r>
            <w:r w:rsidRPr="000600ED">
              <w:rPr>
                <w:rFonts w:asciiTheme="minorEastAsia" w:hAnsiTheme="minorEastAsia" w:hint="eastAsia"/>
                <w:sz w:val="20"/>
                <w:szCs w:val="20"/>
              </w:rPr>
              <w:t>薬剤性過敏症症候群</w:t>
            </w:r>
            <w:r w:rsidRPr="000600ED">
              <w:rPr>
                <w:rFonts w:asciiTheme="minorEastAsia" w:hAnsiTheme="minorEastAsia"/>
                <w:sz w:val="20"/>
                <w:szCs w:val="20"/>
              </w:rPr>
              <w:t>]</w:t>
            </w:r>
          </w:p>
          <w:p w14:paraId="13D076E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・のどの痛み、頭痛、筋肉痛、発熱</w:t>
            </w:r>
            <w:r w:rsidRPr="000600ED">
              <w:rPr>
                <w:rFonts w:asciiTheme="minorEastAsia" w:hAnsiTheme="minorEastAsia"/>
                <w:sz w:val="20"/>
                <w:szCs w:val="20"/>
              </w:rPr>
              <w:t xml:space="preserve"> [</w:t>
            </w:r>
            <w:r w:rsidRPr="000600ED">
              <w:rPr>
                <w:rFonts w:asciiTheme="minorEastAsia" w:hAnsiTheme="minorEastAsia" w:hint="eastAsia"/>
                <w:sz w:val="20"/>
                <w:szCs w:val="20"/>
              </w:rPr>
              <w:t>無顆粒球症</w:t>
            </w:r>
            <w:r w:rsidRPr="000600ED">
              <w:rPr>
                <w:rFonts w:asciiTheme="minorEastAsia" w:hAnsiTheme="minorEastAsia"/>
                <w:sz w:val="20"/>
                <w:szCs w:val="20"/>
              </w:rPr>
              <w:t>]</w:t>
            </w:r>
          </w:p>
          <w:p w14:paraId="3F6E8C4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2C165895" w14:textId="77777777" w:rsidTr="003F20F5">
        <w:tc>
          <w:tcPr>
            <w:tcW w:w="9968" w:type="dxa"/>
            <w:gridSpan w:val="2"/>
          </w:tcPr>
          <w:p w14:paraId="76C13C9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6E3E8C00" w14:textId="77777777" w:rsidR="00314A8E"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708DD4B5" w14:textId="77777777" w:rsidR="00314A8E" w:rsidRDefault="000600ED" w:rsidP="001456F1">
            <w:pPr>
              <w:ind w:leftChars="100" w:left="410" w:hangingChars="100" w:hanging="200"/>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p w14:paraId="0C261593"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・［ご家族の方へ］攻撃的になる、死にたいという気持ちになるなどの症状があらわれる可能性について医</w:t>
            </w:r>
            <w:r w:rsidRPr="000600ED">
              <w:rPr>
                <w:rFonts w:asciiTheme="minorEastAsia" w:hAnsiTheme="minorEastAsia" w:hint="eastAsia"/>
                <w:sz w:val="20"/>
                <w:szCs w:val="20"/>
              </w:rPr>
              <w:lastRenderedPageBreak/>
              <w:t>師から十分に説明を受けて、患者さんのいつもと違う言動や症状に気づいた場合は、医師または薬剤師に申し出てください。</w:t>
            </w:r>
          </w:p>
        </w:tc>
      </w:tr>
      <w:tr w:rsidR="00D24830" w14:paraId="7E8AB418" w14:textId="77777777" w:rsidTr="003F20F5">
        <w:tc>
          <w:tcPr>
            <w:tcW w:w="9968" w:type="dxa"/>
            <w:gridSpan w:val="2"/>
          </w:tcPr>
          <w:p w14:paraId="70511E19"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lastRenderedPageBreak/>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72FC9A58" w14:textId="77777777" w:rsidR="00D24830" w:rsidRDefault="00D24830" w:rsidP="003F20F5">
            <w:pPr>
              <w:rPr>
                <w:rFonts w:asciiTheme="minorEastAsia"/>
                <w:sz w:val="20"/>
                <w:szCs w:val="20"/>
              </w:rPr>
            </w:pPr>
          </w:p>
          <w:p w14:paraId="5FBA0625" w14:textId="77777777" w:rsidR="00D24830" w:rsidRPr="007D422F" w:rsidRDefault="00D24830" w:rsidP="003F20F5">
            <w:pPr>
              <w:rPr>
                <w:rFonts w:asciiTheme="majorEastAsia" w:eastAsiaTheme="majorEastAsia" w:hAnsiTheme="majorEastAsia"/>
                <w:sz w:val="20"/>
                <w:szCs w:val="20"/>
              </w:rPr>
            </w:pPr>
          </w:p>
        </w:tc>
      </w:tr>
    </w:tbl>
    <w:p w14:paraId="2A2C0A2F"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141E" w14:textId="77777777" w:rsidR="005676BB" w:rsidRDefault="005676BB" w:rsidP="005676BB">
      <w:r>
        <w:separator/>
      </w:r>
    </w:p>
  </w:endnote>
  <w:endnote w:type="continuationSeparator" w:id="0">
    <w:p w14:paraId="78E2FFEC" w14:textId="77777777" w:rsidR="005676BB" w:rsidRDefault="005676BB"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00EA"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w:t>
    </w:r>
    <w:r>
      <w:rPr>
        <w:lang w:val="ja-JP"/>
      </w:rPr>
      <w:t xml:space="preserve">/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6780" w14:textId="77777777" w:rsidR="005676BB" w:rsidRDefault="005676BB" w:rsidP="005676BB">
      <w:r>
        <w:separator/>
      </w:r>
    </w:p>
  </w:footnote>
  <w:footnote w:type="continuationSeparator" w:id="0">
    <w:p w14:paraId="0C7260EE" w14:textId="77777777" w:rsidR="005676BB" w:rsidRDefault="005676BB"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14A8E"/>
    <w:rsid w:val="003333EC"/>
    <w:rsid w:val="003F20F5"/>
    <w:rsid w:val="00547602"/>
    <w:rsid w:val="005676BB"/>
    <w:rsid w:val="006A40B0"/>
    <w:rsid w:val="00764B98"/>
    <w:rsid w:val="007B113F"/>
    <w:rsid w:val="007D422F"/>
    <w:rsid w:val="008B2922"/>
    <w:rsid w:val="009166E6"/>
    <w:rsid w:val="00A31947"/>
    <w:rsid w:val="00AB2DE2"/>
    <w:rsid w:val="00BB5781"/>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FF1EEA"/>
  <w14:defaultImageDpi w14:val="0"/>
  <w15:docId w15:val="{6E1BF9F1-4F26-4AC3-BE49-F49018A9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ラコサミド錠50mg「ケミファ」_くすりのしおり</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ラコサミド錠50mg「ケミファ」_くすりのしおり</dc:title>
  <dc:subject/>
  <cp:keywords/>
  <dc:description/>
  <cp:revision>2</cp:revision>
  <dcterms:created xsi:type="dcterms:W3CDTF">2025-12-05T02:35:00Z</dcterms:created>
  <dcterms:modified xsi:type="dcterms:W3CDTF">2025-12-05T02:35:00Z</dcterms:modified>
</cp:coreProperties>
</file>