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D4C" w:rsidRPr="009C4D4C" w:rsidRDefault="009C4D4C" w:rsidP="009C4D4C">
      <w:pPr>
        <w:jc w:val="center"/>
        <w:outlineLvl w:val="0"/>
        <w:rPr>
          <w:rFonts w:ascii="ＭＳ ゴシック" w:eastAsia="ＭＳ ゴシック" w:hAnsi="ＭＳ ゴシック"/>
          <w:sz w:val="24"/>
          <w:szCs w:val="24"/>
        </w:rPr>
      </w:pPr>
      <w:r w:rsidRPr="009C4D4C">
        <w:rPr>
          <w:rFonts w:ascii="ＭＳ ゴシック" w:eastAsia="ＭＳ ゴシック" w:hAnsi="ＭＳ ゴシック" w:hint="eastAsia"/>
          <w:sz w:val="24"/>
          <w:szCs w:val="24"/>
        </w:rPr>
        <w:t>くすりのしおり</w:t>
      </w:r>
    </w:p>
    <w:p w:rsidR="009C4D4C" w:rsidRPr="009C4D4C" w:rsidRDefault="009C4D4C" w:rsidP="009C4D4C">
      <w:pPr>
        <w:jc w:val="right"/>
        <w:rPr>
          <w:rFonts w:ascii="ＭＳ 明朝" w:eastAsia="ＭＳ 明朝" w:hAnsi="Century" w:hint="eastAsia"/>
          <w:sz w:val="20"/>
          <w:szCs w:val="20"/>
        </w:rPr>
      </w:pPr>
      <w:r w:rsidRPr="009C4D4C">
        <w:rPr>
          <w:rFonts w:ascii="ＭＳ 明朝" w:eastAsia="ＭＳ 明朝" w:hAnsi="ＭＳ 明朝" w:hint="eastAsia"/>
          <w:sz w:val="20"/>
          <w:szCs w:val="20"/>
        </w:rPr>
        <w:t>内服剤</w:t>
      </w:r>
    </w:p>
    <w:p w:rsidR="009C4D4C" w:rsidRPr="009C4D4C" w:rsidRDefault="009C4D4C" w:rsidP="009C4D4C">
      <w:pPr>
        <w:jc w:val="right"/>
        <w:rPr>
          <w:rFonts w:ascii="ＭＳ ゴシック" w:eastAsia="ＭＳ ゴシック" w:hAnsi="ＭＳ ゴシック" w:hint="eastAsia"/>
          <w:sz w:val="24"/>
          <w:szCs w:val="24"/>
        </w:rPr>
      </w:pPr>
      <w:r w:rsidRPr="009C4D4C">
        <w:rPr>
          <w:rFonts w:ascii="ＭＳ 明朝" w:eastAsia="ＭＳ 明朝" w:hAnsi="ＭＳ 明朝" w:hint="eastAsia"/>
          <w:sz w:val="20"/>
          <w:szCs w:val="20"/>
        </w:rPr>
        <w:t>2012年07月作成</w:t>
      </w:r>
    </w:p>
    <w:tbl>
      <w:tblPr>
        <w:tblStyle w:val="1"/>
        <w:tblW w:w="0" w:type="auto"/>
        <w:tblInd w:w="0" w:type="dxa"/>
        <w:tblLayout w:type="fixed"/>
        <w:tblLook w:val="04A0" w:firstRow="1" w:lastRow="0" w:firstColumn="1" w:lastColumn="0" w:noHBand="0" w:noVBand="1"/>
      </w:tblPr>
      <w:tblGrid>
        <w:gridCol w:w="7807"/>
        <w:gridCol w:w="2161"/>
      </w:tblGrid>
      <w:tr w:rsidR="009C4D4C" w:rsidRPr="009C4D4C" w:rsidTr="009C4D4C">
        <w:tc>
          <w:tcPr>
            <w:tcW w:w="9968" w:type="dxa"/>
            <w:gridSpan w:val="2"/>
            <w:tcBorders>
              <w:top w:val="single" w:sz="4" w:space="0" w:color="auto"/>
              <w:left w:val="single" w:sz="4" w:space="0" w:color="auto"/>
              <w:bottom w:val="single" w:sz="4" w:space="0" w:color="auto"/>
              <w:right w:val="single" w:sz="4" w:space="0" w:color="auto"/>
            </w:tcBorders>
            <w:hideMark/>
          </w:tcPr>
          <w:p w:rsidR="009C4D4C" w:rsidRPr="009C4D4C" w:rsidRDefault="009C4D4C" w:rsidP="009C4D4C">
            <w:pPr>
              <w:jc w:val="left"/>
              <w:rPr>
                <w:rFonts w:ascii="ＭＳ ゴシック" w:eastAsia="ＭＳ ゴシック" w:hAnsi="ＭＳ ゴシック" w:hint="eastAsia"/>
                <w:sz w:val="20"/>
                <w:szCs w:val="20"/>
              </w:rPr>
            </w:pPr>
            <w:r w:rsidRPr="009C4D4C">
              <w:rPr>
                <w:rFonts w:ascii="ＭＳ ゴシック" w:eastAsia="ＭＳ ゴシック" w:hAnsi="ＭＳ ゴシック"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9C4D4C" w:rsidRPr="009C4D4C" w:rsidTr="009C4D4C">
        <w:trPr>
          <w:trHeight w:val="1134"/>
        </w:trPr>
        <w:tc>
          <w:tcPr>
            <w:tcW w:w="7807" w:type="dxa"/>
            <w:tcBorders>
              <w:top w:val="single" w:sz="4" w:space="0" w:color="auto"/>
              <w:left w:val="single" w:sz="4" w:space="0" w:color="auto"/>
              <w:bottom w:val="single" w:sz="4" w:space="0" w:color="auto"/>
              <w:right w:val="single" w:sz="4" w:space="0" w:color="auto"/>
            </w:tcBorders>
            <w:hideMark/>
          </w:tcPr>
          <w:p w:rsidR="009C4D4C" w:rsidRPr="009C4D4C" w:rsidRDefault="009C4D4C" w:rsidP="009C4D4C">
            <w:pPr>
              <w:ind w:left="964" w:hangingChars="400" w:hanging="964"/>
              <w:jc w:val="left"/>
              <w:rPr>
                <w:rFonts w:ascii="ＭＳ ゴシック" w:eastAsia="ＭＳ ゴシック" w:hAnsi="ＭＳ ゴシック" w:hint="eastAsia"/>
                <w:b/>
                <w:sz w:val="24"/>
                <w:szCs w:val="24"/>
              </w:rPr>
            </w:pPr>
            <w:r w:rsidRPr="009C4D4C">
              <w:rPr>
                <w:rFonts w:ascii="ＭＳ ゴシック" w:eastAsia="ＭＳ ゴシック" w:hAnsi="ＭＳ ゴシック" w:hint="eastAsia"/>
                <w:b/>
                <w:color w:val="FF0000"/>
                <w:sz w:val="24"/>
                <w:szCs w:val="24"/>
              </w:rPr>
              <w:t>商品名:</w:t>
            </w:r>
            <w:r w:rsidRPr="009C4D4C">
              <w:rPr>
                <w:rFonts w:ascii="ＭＳ ゴシック" w:eastAsia="ＭＳ ゴシック" w:hAnsi="ＭＳ ゴシック" w:hint="eastAsia"/>
                <w:b/>
                <w:sz w:val="24"/>
                <w:szCs w:val="24"/>
              </w:rPr>
              <w:t>エピナスチン塩酸塩錠10mg「ケミファ」</w:t>
            </w:r>
          </w:p>
          <w:p w:rsidR="009C4D4C" w:rsidRPr="009C4D4C" w:rsidRDefault="009C4D4C" w:rsidP="009C4D4C">
            <w:pPr>
              <w:ind w:leftChars="100" w:left="1013" w:hangingChars="400" w:hanging="803"/>
              <w:jc w:val="left"/>
              <w:rPr>
                <w:rFonts w:ascii="ＭＳ 明朝" w:eastAsia="ＭＳ 明朝" w:hint="eastAsia"/>
                <w:sz w:val="20"/>
                <w:szCs w:val="20"/>
              </w:rPr>
            </w:pPr>
            <w:r w:rsidRPr="009C4D4C">
              <w:rPr>
                <w:rFonts w:ascii="ＭＳ ゴシック" w:eastAsia="ＭＳ ゴシック" w:hAnsi="ＭＳ ゴシック" w:hint="eastAsia"/>
                <w:b/>
                <w:sz w:val="20"/>
                <w:szCs w:val="20"/>
              </w:rPr>
              <w:t>主成分:</w:t>
            </w:r>
            <w:r w:rsidRPr="009C4D4C">
              <w:rPr>
                <w:rFonts w:ascii="ＭＳ 明朝" w:eastAsia="ＭＳ 明朝" w:hAnsi="ＭＳ 明朝" w:hint="eastAsia"/>
                <w:sz w:val="20"/>
                <w:szCs w:val="20"/>
              </w:rPr>
              <w:t>エピナスチン塩酸塩(</w:t>
            </w:r>
            <w:proofErr w:type="spellStart"/>
            <w:r w:rsidRPr="009C4D4C">
              <w:rPr>
                <w:rFonts w:ascii="ＭＳ 明朝" w:eastAsia="ＭＳ 明朝" w:hAnsi="ＭＳ 明朝" w:hint="eastAsia"/>
                <w:sz w:val="20"/>
                <w:szCs w:val="20"/>
              </w:rPr>
              <w:t>Epinastine</w:t>
            </w:r>
            <w:proofErr w:type="spellEnd"/>
            <w:r w:rsidRPr="009C4D4C">
              <w:rPr>
                <w:rFonts w:ascii="ＭＳ 明朝" w:eastAsia="ＭＳ 明朝" w:hAnsi="ＭＳ 明朝" w:hint="eastAsia"/>
                <w:sz w:val="20"/>
                <w:szCs w:val="20"/>
              </w:rPr>
              <w:t xml:space="preserve"> hydrochloride)</w:t>
            </w:r>
          </w:p>
          <w:p w:rsidR="009C4D4C" w:rsidRPr="009C4D4C" w:rsidRDefault="009C4D4C" w:rsidP="009C4D4C">
            <w:pPr>
              <w:ind w:leftChars="100" w:left="812" w:hangingChars="300" w:hanging="602"/>
              <w:jc w:val="left"/>
              <w:rPr>
                <w:rFonts w:ascii="ＭＳ 明朝" w:eastAsia="ＭＳ 明朝" w:hint="eastAsia"/>
                <w:sz w:val="20"/>
                <w:szCs w:val="20"/>
              </w:rPr>
            </w:pPr>
            <w:r w:rsidRPr="009C4D4C">
              <w:rPr>
                <w:rFonts w:ascii="ＭＳ ゴシック" w:eastAsia="ＭＳ ゴシック" w:hAnsi="ＭＳ ゴシック" w:hint="eastAsia"/>
                <w:b/>
                <w:sz w:val="20"/>
                <w:szCs w:val="20"/>
              </w:rPr>
              <w:t>剤形:</w:t>
            </w:r>
            <w:r w:rsidRPr="009C4D4C">
              <w:rPr>
                <w:rFonts w:ascii="ＭＳ 明朝" w:eastAsia="ＭＳ 明朝" w:hAnsi="ＭＳ 明朝" w:hint="eastAsia"/>
                <w:sz w:val="20"/>
                <w:szCs w:val="20"/>
              </w:rPr>
              <w:t>白色～微黄色の錠剤、直径6.6mm、厚さ3.2mm</w:t>
            </w:r>
          </w:p>
          <w:p w:rsidR="009C4D4C" w:rsidRPr="009C4D4C" w:rsidRDefault="009C4D4C" w:rsidP="009C4D4C">
            <w:pPr>
              <w:ind w:leftChars="100" w:left="1415" w:hangingChars="600" w:hanging="1205"/>
              <w:jc w:val="left"/>
              <w:rPr>
                <w:rFonts w:ascii="ＭＳ ゴシック" w:eastAsia="ＭＳ ゴシック" w:hAnsi="ＭＳ ゴシック" w:hint="eastAsia"/>
                <w:b/>
                <w:sz w:val="24"/>
                <w:szCs w:val="24"/>
              </w:rPr>
            </w:pPr>
            <w:r w:rsidRPr="009C4D4C">
              <w:rPr>
                <w:rFonts w:ascii="ＭＳ ゴシック" w:eastAsia="ＭＳ ゴシック" w:hAnsi="ＭＳ ゴシック" w:hint="eastAsia"/>
                <w:b/>
                <w:sz w:val="20"/>
                <w:szCs w:val="20"/>
              </w:rPr>
              <w:t>シート記載:</w:t>
            </w:r>
            <w:r w:rsidRPr="009C4D4C">
              <w:rPr>
                <w:rFonts w:ascii="ＭＳ 明朝" w:eastAsia="ＭＳ 明朝" w:hAnsi="ＭＳ 明朝" w:hint="eastAsia"/>
                <w:sz w:val="20"/>
                <w:szCs w:val="20"/>
              </w:rPr>
              <w:t>エピナスチン塩酸塩10mg「ケミファ」、10、NPI120、アレルギー用薬、Epinastine10mg</w:t>
            </w:r>
          </w:p>
        </w:tc>
        <w:tc>
          <w:tcPr>
            <w:tcW w:w="2161" w:type="dxa"/>
            <w:tcBorders>
              <w:top w:val="single" w:sz="4" w:space="0" w:color="auto"/>
              <w:left w:val="single" w:sz="4" w:space="0" w:color="auto"/>
              <w:bottom w:val="single" w:sz="4" w:space="0" w:color="auto"/>
              <w:right w:val="single" w:sz="4" w:space="0" w:color="auto"/>
            </w:tcBorders>
            <w:hideMark/>
          </w:tcPr>
          <w:p w:rsidR="009C4D4C" w:rsidRPr="009C4D4C" w:rsidRDefault="009C4D4C" w:rsidP="009C4D4C">
            <w:pPr>
              <w:jc w:val="center"/>
              <w:rPr>
                <w:rFonts w:ascii="ＭＳ 明朝" w:eastAsia="ＭＳ 明朝" w:hint="eastAsia"/>
                <w:sz w:val="20"/>
                <w:szCs w:val="20"/>
              </w:rPr>
            </w:pPr>
            <w:r w:rsidRPr="009C4D4C">
              <w:rPr>
                <w:rFonts w:ascii="ＭＳ 明朝" w:eastAsia="ＭＳ 明朝"/>
                <w:noProof/>
                <w:sz w:val="20"/>
                <w:szCs w:val="20"/>
              </w:rPr>
              <w:drawing>
                <wp:inline distT="0" distB="0" distL="0" distR="0" wp14:anchorId="0515597E" wp14:editId="110B389C">
                  <wp:extent cx="1209675" cy="6477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647700"/>
                          </a:xfrm>
                          <a:prstGeom prst="rect">
                            <a:avLst/>
                          </a:prstGeom>
                          <a:noFill/>
                          <a:ln>
                            <a:noFill/>
                          </a:ln>
                        </pic:spPr>
                      </pic:pic>
                    </a:graphicData>
                  </a:graphic>
                </wp:inline>
              </w:drawing>
            </w:r>
          </w:p>
        </w:tc>
      </w:tr>
      <w:tr w:rsidR="009C4D4C" w:rsidRPr="009C4D4C" w:rsidTr="009C4D4C">
        <w:tc>
          <w:tcPr>
            <w:tcW w:w="9968" w:type="dxa"/>
            <w:gridSpan w:val="2"/>
            <w:tcBorders>
              <w:top w:val="single" w:sz="4" w:space="0" w:color="auto"/>
              <w:left w:val="single" w:sz="4" w:space="0" w:color="auto"/>
              <w:bottom w:val="single" w:sz="4" w:space="0" w:color="auto"/>
              <w:right w:val="single" w:sz="4" w:space="0" w:color="auto"/>
            </w:tcBorders>
            <w:hideMark/>
          </w:tcPr>
          <w:p w:rsidR="009C4D4C" w:rsidRPr="009C4D4C" w:rsidRDefault="009C4D4C" w:rsidP="009C4D4C">
            <w:pPr>
              <w:jc w:val="left"/>
              <w:rPr>
                <w:rFonts w:ascii="ＭＳ ゴシック" w:eastAsia="ＭＳ ゴシック" w:hAnsi="ＭＳ ゴシック" w:hint="eastAsia"/>
                <w:b/>
                <w:color w:val="FF0000"/>
                <w:sz w:val="20"/>
                <w:szCs w:val="20"/>
              </w:rPr>
            </w:pPr>
            <w:r w:rsidRPr="009C4D4C">
              <w:rPr>
                <w:rFonts w:ascii="ＭＳ ゴシック" w:eastAsia="ＭＳ ゴシック" w:hAnsi="ＭＳ ゴシック" w:hint="eastAsia"/>
                <w:b/>
                <w:color w:val="FF0000"/>
                <w:sz w:val="20"/>
                <w:szCs w:val="20"/>
              </w:rPr>
              <w:t>この薬の作用と効果について</w:t>
            </w:r>
          </w:p>
          <w:p w:rsidR="009C4D4C" w:rsidRPr="009C4D4C" w:rsidRDefault="009C4D4C" w:rsidP="009C4D4C">
            <w:pPr>
              <w:ind w:leftChars="100" w:left="210"/>
              <w:jc w:val="left"/>
              <w:rPr>
                <w:rFonts w:eastAsia="ＭＳ 明朝" w:hint="eastAsia"/>
              </w:rPr>
            </w:pPr>
            <w:r w:rsidRPr="009C4D4C">
              <w:rPr>
                <w:rFonts w:ascii="ＭＳ 明朝" w:eastAsia="ＭＳ 明朝" w:hAnsi="ＭＳ 明朝" w:hint="eastAsia"/>
                <w:sz w:val="20"/>
                <w:szCs w:val="20"/>
              </w:rPr>
              <w:t>選択的H</w:t>
            </w:r>
            <w:r w:rsidRPr="009C4D4C">
              <w:rPr>
                <w:rFonts w:ascii="ＭＳ 明朝" w:eastAsia="ＭＳ 明朝" w:hAnsi="ＭＳ 明朝" w:hint="eastAsia"/>
                <w:sz w:val="20"/>
                <w:szCs w:val="20"/>
                <w:vertAlign w:val="subscript"/>
              </w:rPr>
              <w:t>1</w:t>
            </w:r>
            <w:r w:rsidRPr="009C4D4C">
              <w:rPr>
                <w:rFonts w:ascii="ＭＳ 明朝" w:eastAsia="ＭＳ 明朝" w:hAnsi="ＭＳ 明朝" w:hint="eastAsia"/>
                <w:sz w:val="20"/>
                <w:szCs w:val="20"/>
              </w:rPr>
              <w:t>受容体拮抗作用があり、また、ヒスタミンなどのアレルギー原因物質の遊離を抑えて抗アレルギー作用を示します。</w:t>
            </w:r>
          </w:p>
          <w:p w:rsidR="009C4D4C" w:rsidRPr="009C4D4C" w:rsidRDefault="009C4D4C" w:rsidP="009C4D4C">
            <w:pPr>
              <w:ind w:leftChars="100" w:left="210"/>
              <w:jc w:val="left"/>
              <w:rPr>
                <w:rFonts w:ascii="ＭＳ 明朝" w:eastAsia="ＭＳ 明朝"/>
                <w:sz w:val="20"/>
                <w:szCs w:val="20"/>
              </w:rPr>
            </w:pPr>
            <w:r w:rsidRPr="009C4D4C">
              <w:rPr>
                <w:rFonts w:ascii="ＭＳ 明朝" w:eastAsia="ＭＳ 明朝" w:hAnsi="ＭＳ 明朝" w:hint="eastAsia"/>
                <w:sz w:val="20"/>
                <w:szCs w:val="20"/>
              </w:rPr>
              <w:t>通常、気管支喘息、アレルギー性鼻炎、蕁麻疹、湿疹・皮膚炎、皮膚そう痒症、痒疹、そう痒を伴う尋常性乾癬の治療に用いられます。</w:t>
            </w:r>
          </w:p>
        </w:tc>
      </w:tr>
      <w:tr w:rsidR="009C4D4C" w:rsidRPr="009C4D4C" w:rsidTr="009C4D4C">
        <w:tc>
          <w:tcPr>
            <w:tcW w:w="9968" w:type="dxa"/>
            <w:gridSpan w:val="2"/>
            <w:tcBorders>
              <w:top w:val="single" w:sz="4" w:space="0" w:color="auto"/>
              <w:left w:val="single" w:sz="4" w:space="0" w:color="auto"/>
              <w:bottom w:val="single" w:sz="4" w:space="0" w:color="auto"/>
              <w:right w:val="single" w:sz="4" w:space="0" w:color="auto"/>
            </w:tcBorders>
            <w:hideMark/>
          </w:tcPr>
          <w:p w:rsidR="009C4D4C" w:rsidRPr="009C4D4C" w:rsidRDefault="009C4D4C" w:rsidP="009C4D4C">
            <w:pPr>
              <w:jc w:val="left"/>
              <w:rPr>
                <w:rFonts w:ascii="ＭＳ ゴシック" w:eastAsia="ＭＳ ゴシック" w:hAnsi="ＭＳ ゴシック" w:hint="eastAsia"/>
                <w:b/>
                <w:color w:val="FF0000"/>
                <w:sz w:val="20"/>
                <w:szCs w:val="20"/>
              </w:rPr>
            </w:pPr>
            <w:r w:rsidRPr="009C4D4C">
              <w:rPr>
                <w:rFonts w:ascii="ＭＳ ゴシック" w:eastAsia="ＭＳ ゴシック" w:hAnsi="ＭＳ ゴシック" w:hint="eastAsia"/>
                <w:b/>
                <w:color w:val="FF0000"/>
                <w:sz w:val="20"/>
                <w:szCs w:val="20"/>
              </w:rPr>
              <w:t>次のような方は使う前に必ず担当の医師と薬剤師に伝えてください。</w:t>
            </w:r>
          </w:p>
          <w:p w:rsidR="009C4D4C" w:rsidRPr="009C4D4C" w:rsidRDefault="009C4D4C" w:rsidP="009C4D4C">
            <w:pPr>
              <w:ind w:leftChars="100" w:left="410" w:hangingChars="100" w:hanging="200"/>
              <w:jc w:val="left"/>
              <w:rPr>
                <w:rFonts w:eastAsia="ＭＳ 明朝" w:hint="eastAsia"/>
              </w:rPr>
            </w:pPr>
            <w:r w:rsidRPr="009C4D4C">
              <w:rPr>
                <w:rFonts w:ascii="ＭＳ 明朝" w:eastAsia="ＭＳ 明朝" w:hAnsi="ＭＳ 明朝" w:hint="eastAsia"/>
                <w:sz w:val="20"/>
                <w:szCs w:val="20"/>
              </w:rPr>
              <w:t>・以前に薬を使用して、かゆみ、発疹などのアレルギー症状が出たことがある。肝障害または既往歴がある。</w:t>
            </w:r>
          </w:p>
          <w:p w:rsidR="009C4D4C" w:rsidRPr="009C4D4C" w:rsidRDefault="009C4D4C" w:rsidP="009C4D4C">
            <w:pPr>
              <w:ind w:leftChars="100" w:left="410" w:hangingChars="100" w:hanging="200"/>
              <w:rPr>
                <w:rFonts w:eastAsia="ＭＳ 明朝"/>
              </w:rPr>
            </w:pPr>
            <w:r w:rsidRPr="009C4D4C">
              <w:rPr>
                <w:rFonts w:ascii="ＭＳ 明朝" w:eastAsia="ＭＳ 明朝" w:hAnsi="ＭＳ 明朝" w:hint="eastAsia"/>
                <w:sz w:val="20"/>
                <w:szCs w:val="20"/>
              </w:rPr>
              <w:t>・妊娠または授乳中</w:t>
            </w:r>
          </w:p>
          <w:p w:rsidR="009C4D4C" w:rsidRPr="009C4D4C" w:rsidRDefault="009C4D4C" w:rsidP="009C4D4C">
            <w:pPr>
              <w:ind w:leftChars="100" w:left="410" w:hangingChars="100" w:hanging="200"/>
              <w:rPr>
                <w:rFonts w:ascii="ＭＳ 明朝" w:eastAsia="ＭＳ 明朝"/>
                <w:sz w:val="20"/>
                <w:szCs w:val="20"/>
              </w:rPr>
            </w:pPr>
            <w:r w:rsidRPr="009C4D4C">
              <w:rPr>
                <w:rFonts w:ascii="ＭＳ 明朝" w:eastAsia="ＭＳ 明朝" w:hAnsi="ＭＳ 明朝" w:hint="eastAsia"/>
                <w:sz w:val="20"/>
                <w:szCs w:val="20"/>
              </w:rPr>
              <w:t>・他に薬などを使っている（お互いに作用を強めたり、弱めたりする可能性もありますので、他に使用中の一般用医薬品や食品も含めて注意してください）。</w:t>
            </w:r>
          </w:p>
        </w:tc>
      </w:tr>
      <w:tr w:rsidR="009C4D4C" w:rsidRPr="009C4D4C" w:rsidTr="009C4D4C">
        <w:trPr>
          <w:trHeight w:val="788"/>
        </w:trPr>
        <w:tc>
          <w:tcPr>
            <w:tcW w:w="9968" w:type="dxa"/>
            <w:gridSpan w:val="2"/>
            <w:tcBorders>
              <w:top w:val="single" w:sz="4" w:space="0" w:color="auto"/>
              <w:left w:val="single" w:sz="4" w:space="0" w:color="auto"/>
              <w:bottom w:val="single" w:sz="4" w:space="0" w:color="auto"/>
              <w:right w:val="single" w:sz="4" w:space="0" w:color="auto"/>
            </w:tcBorders>
            <w:hideMark/>
          </w:tcPr>
          <w:p w:rsidR="009C4D4C" w:rsidRPr="009C4D4C" w:rsidRDefault="009C4D4C" w:rsidP="009C4D4C">
            <w:pPr>
              <w:jc w:val="left"/>
              <w:rPr>
                <w:rFonts w:ascii="ＭＳ ゴシック" w:eastAsia="ＭＳ ゴシック" w:hAnsi="ＭＳ ゴシック" w:hint="eastAsia"/>
                <w:b/>
                <w:color w:val="FF0000"/>
                <w:sz w:val="20"/>
                <w:szCs w:val="20"/>
              </w:rPr>
            </w:pPr>
            <w:r w:rsidRPr="009C4D4C">
              <w:rPr>
                <w:rFonts w:ascii="ＭＳ ゴシック" w:eastAsia="ＭＳ ゴシック" w:hAnsi="ＭＳ ゴシック" w:hint="eastAsia"/>
                <w:b/>
                <w:color w:val="FF0000"/>
                <w:sz w:val="20"/>
                <w:szCs w:val="20"/>
              </w:rPr>
              <w:t>用法・用量（この薬の使い方）</w:t>
            </w:r>
          </w:p>
          <w:p w:rsidR="009C4D4C" w:rsidRPr="009C4D4C" w:rsidRDefault="009C4D4C" w:rsidP="009C4D4C">
            <w:pPr>
              <w:ind w:leftChars="100" w:left="410" w:hangingChars="100" w:hanging="200"/>
              <w:jc w:val="left"/>
              <w:rPr>
                <w:rFonts w:ascii="ＭＳ 明朝" w:eastAsia="ＭＳ 明朝" w:hint="eastAsia"/>
                <w:sz w:val="20"/>
                <w:szCs w:val="20"/>
              </w:rPr>
            </w:pPr>
            <w:r w:rsidRPr="009C4D4C">
              <w:rPr>
                <w:rFonts w:ascii="ＭＳ ゴシック" w:eastAsia="ＭＳ ゴシック" w:hAnsi="ＭＳ ゴシック" w:hint="eastAsia"/>
                <w:sz w:val="20"/>
                <w:szCs w:val="20"/>
              </w:rPr>
              <w:t>・</w:t>
            </w:r>
            <w:r w:rsidRPr="009C4D4C">
              <w:rPr>
                <w:rFonts w:ascii="ＭＳ ゴシック" w:eastAsia="ＭＳ ゴシック" w:hAnsi="ＭＳ ゴシック" w:hint="eastAsia"/>
                <w:b/>
                <w:sz w:val="20"/>
                <w:szCs w:val="20"/>
              </w:rPr>
              <w:t xml:space="preserve">あなたの用法・用量は&lt;&lt;　　　　　　　　　　　　　　　　　　　　　　　　　　　</w:t>
            </w:r>
            <w:r w:rsidRPr="009C4D4C">
              <w:rPr>
                <w:rFonts w:ascii="ＭＳ 明朝" w:eastAsia="ＭＳ 明朝" w:hAnsi="ＭＳ 明朝" w:hint="eastAsia"/>
                <w:sz w:val="20"/>
                <w:szCs w:val="20"/>
              </w:rPr>
              <w:t>:医療担当者記入</w:t>
            </w:r>
            <w:r w:rsidRPr="009C4D4C">
              <w:rPr>
                <w:rFonts w:ascii="ＭＳ ゴシック" w:eastAsia="ＭＳ ゴシック" w:hAnsi="ＭＳ ゴシック" w:hint="eastAsia"/>
                <w:b/>
                <w:sz w:val="20"/>
                <w:szCs w:val="20"/>
              </w:rPr>
              <w:t>&gt;&gt;</w:t>
            </w:r>
          </w:p>
          <w:p w:rsidR="009C4D4C" w:rsidRPr="009C4D4C" w:rsidRDefault="009C4D4C" w:rsidP="009C4D4C">
            <w:pPr>
              <w:ind w:leftChars="100" w:left="410" w:hangingChars="100" w:hanging="200"/>
              <w:jc w:val="left"/>
              <w:rPr>
                <w:rFonts w:eastAsia="ＭＳ 明朝" w:hint="eastAsia"/>
              </w:rPr>
            </w:pPr>
            <w:r w:rsidRPr="009C4D4C">
              <w:rPr>
                <w:rFonts w:ascii="ＭＳ 明朝" w:eastAsia="ＭＳ 明朝" w:hAnsi="ＭＳ 明朝" w:hint="eastAsia"/>
                <w:sz w:val="20"/>
                <w:szCs w:val="20"/>
              </w:rPr>
              <w:t>・</w:t>
            </w:r>
            <w:r w:rsidRPr="009C4D4C">
              <w:rPr>
                <w:rFonts w:ascii="ＭＳ 明朝" w:eastAsia="ＭＳ 明朝" w:hAnsi="ＭＳ 明朝" w:hint="eastAsia"/>
                <w:sz w:val="20"/>
                <w:szCs w:val="20"/>
                <w:u w:val="single"/>
              </w:rPr>
              <w:t>喘息、蕁麻疹などの皮膚疾患</w:t>
            </w:r>
            <w:r w:rsidRPr="009C4D4C">
              <w:rPr>
                <w:rFonts w:ascii="ＭＳ 明朝" w:eastAsia="ＭＳ 明朝" w:hAnsi="ＭＳ 明朝" w:hint="eastAsia"/>
                <w:sz w:val="20"/>
                <w:szCs w:val="20"/>
              </w:rPr>
              <w:t>：通常、成人は1回2錠（主成分として20mg）を1日1回服用します。</w:t>
            </w:r>
          </w:p>
          <w:p w:rsidR="009C4D4C" w:rsidRPr="009C4D4C" w:rsidRDefault="009C4D4C" w:rsidP="009C4D4C">
            <w:pPr>
              <w:ind w:leftChars="200" w:left="420"/>
              <w:rPr>
                <w:rFonts w:eastAsia="ＭＳ 明朝"/>
              </w:rPr>
            </w:pPr>
            <w:r w:rsidRPr="009C4D4C">
              <w:rPr>
                <w:rFonts w:ascii="ＭＳ 明朝" w:eastAsia="ＭＳ 明朝" w:hAnsi="ＭＳ 明朝" w:hint="eastAsia"/>
                <w:sz w:val="20"/>
                <w:szCs w:val="20"/>
                <w:u w:val="single"/>
              </w:rPr>
              <w:t>アレルギー性鼻炎</w:t>
            </w:r>
            <w:r w:rsidRPr="009C4D4C">
              <w:rPr>
                <w:rFonts w:ascii="ＭＳ 明朝" w:eastAsia="ＭＳ 明朝" w:hAnsi="ＭＳ 明朝" w:hint="eastAsia"/>
                <w:sz w:val="20"/>
                <w:szCs w:val="20"/>
              </w:rPr>
              <w:t>：通常、成人は1回1～2錠（主成分として10～20mg）を1日1回服用します。</w:t>
            </w:r>
          </w:p>
          <w:p w:rsidR="009C4D4C" w:rsidRPr="009C4D4C" w:rsidRDefault="009C4D4C" w:rsidP="009C4D4C">
            <w:pPr>
              <w:ind w:leftChars="200" w:left="420"/>
              <w:rPr>
                <w:rFonts w:eastAsia="ＭＳ 明朝"/>
              </w:rPr>
            </w:pPr>
            <w:r w:rsidRPr="009C4D4C">
              <w:rPr>
                <w:rFonts w:ascii="ＭＳ 明朝" w:eastAsia="ＭＳ 明朝" w:hAnsi="ＭＳ 明朝" w:hint="eastAsia"/>
                <w:sz w:val="20"/>
                <w:szCs w:val="20"/>
              </w:rPr>
              <w:t>いずれの場合も、治療を受ける疾患や年齢・症状により適宜増減されます。必ず指示された服用方法に従ってください。</w:t>
            </w:r>
          </w:p>
          <w:p w:rsidR="009C4D4C" w:rsidRPr="009C4D4C" w:rsidRDefault="009C4D4C" w:rsidP="009C4D4C">
            <w:pPr>
              <w:ind w:leftChars="100" w:left="410" w:hangingChars="100" w:hanging="200"/>
              <w:rPr>
                <w:rFonts w:eastAsia="ＭＳ 明朝"/>
              </w:rPr>
            </w:pPr>
            <w:r w:rsidRPr="009C4D4C">
              <w:rPr>
                <w:rFonts w:ascii="ＭＳ 明朝" w:eastAsia="ＭＳ 明朝" w:hAnsi="ＭＳ 明朝" w:hint="eastAsia"/>
                <w:sz w:val="20"/>
                <w:szCs w:val="20"/>
              </w:rPr>
              <w:t>・飲み忘れた場合は、気がついた時点で、できるだけ早く飲んでください。ただし、次に飲む時間が近い場合には、1回分を飛ばして、次の分からふだんの飲み方に戻してください。絶対に2回分を一度に飲んではいけません。</w:t>
            </w:r>
          </w:p>
          <w:p w:rsidR="009C4D4C" w:rsidRPr="009C4D4C" w:rsidRDefault="009C4D4C" w:rsidP="009C4D4C">
            <w:pPr>
              <w:ind w:leftChars="100" w:left="410" w:hangingChars="100" w:hanging="200"/>
              <w:rPr>
                <w:rFonts w:eastAsia="ＭＳ 明朝"/>
              </w:rPr>
            </w:pPr>
            <w:r w:rsidRPr="009C4D4C">
              <w:rPr>
                <w:rFonts w:ascii="ＭＳ 明朝" w:eastAsia="ＭＳ 明朝" w:hAnsi="ＭＳ 明朝" w:hint="eastAsia"/>
                <w:sz w:val="20"/>
                <w:szCs w:val="20"/>
              </w:rPr>
              <w:t>・誤って多く飲んだ場合は医師または薬剤師に相談してください。</w:t>
            </w:r>
          </w:p>
          <w:p w:rsidR="009C4D4C" w:rsidRPr="009C4D4C" w:rsidRDefault="009C4D4C" w:rsidP="009C4D4C">
            <w:pPr>
              <w:ind w:leftChars="100" w:left="410" w:hangingChars="100" w:hanging="200"/>
              <w:rPr>
                <w:rFonts w:ascii="ＭＳ ゴシック" w:eastAsia="ＭＳ ゴシック" w:hAnsi="ＭＳ ゴシック"/>
                <w:b/>
                <w:color w:val="FF0000"/>
                <w:sz w:val="20"/>
                <w:szCs w:val="20"/>
              </w:rPr>
            </w:pPr>
            <w:r w:rsidRPr="009C4D4C">
              <w:rPr>
                <w:rFonts w:ascii="ＭＳ 明朝" w:eastAsia="ＭＳ 明朝" w:hAnsi="ＭＳ 明朝" w:hint="eastAsia"/>
                <w:sz w:val="20"/>
                <w:szCs w:val="20"/>
              </w:rPr>
              <w:t>・医師の指示なしに、自分の判断で飲むのを止めないでください。</w:t>
            </w:r>
          </w:p>
        </w:tc>
      </w:tr>
      <w:tr w:rsidR="009C4D4C" w:rsidRPr="009C4D4C" w:rsidTr="009C4D4C">
        <w:tc>
          <w:tcPr>
            <w:tcW w:w="9968" w:type="dxa"/>
            <w:gridSpan w:val="2"/>
            <w:tcBorders>
              <w:top w:val="single" w:sz="4" w:space="0" w:color="auto"/>
              <w:left w:val="single" w:sz="4" w:space="0" w:color="auto"/>
              <w:bottom w:val="single" w:sz="4" w:space="0" w:color="auto"/>
              <w:right w:val="single" w:sz="4" w:space="0" w:color="auto"/>
            </w:tcBorders>
          </w:tcPr>
          <w:p w:rsidR="009C4D4C" w:rsidRPr="009C4D4C" w:rsidRDefault="009C4D4C" w:rsidP="009C4D4C">
            <w:pPr>
              <w:jc w:val="left"/>
              <w:rPr>
                <w:rFonts w:ascii="ＭＳ ゴシック" w:eastAsia="ＭＳ ゴシック" w:hAnsi="ＭＳ ゴシック" w:hint="eastAsia"/>
                <w:b/>
                <w:color w:val="FF0000"/>
                <w:sz w:val="20"/>
                <w:szCs w:val="20"/>
              </w:rPr>
            </w:pPr>
            <w:r w:rsidRPr="009C4D4C">
              <w:rPr>
                <w:rFonts w:ascii="ＭＳ ゴシック" w:eastAsia="ＭＳ ゴシック" w:hAnsi="ＭＳ ゴシック" w:hint="eastAsia"/>
                <w:b/>
                <w:color w:val="FF0000"/>
                <w:sz w:val="20"/>
                <w:szCs w:val="20"/>
              </w:rPr>
              <w:t>生活上の注意</w:t>
            </w:r>
          </w:p>
          <w:p w:rsidR="009C4D4C" w:rsidRPr="009C4D4C" w:rsidRDefault="009C4D4C" w:rsidP="009C4D4C">
            <w:pPr>
              <w:ind w:leftChars="100" w:left="410" w:hangingChars="100" w:hanging="200"/>
              <w:jc w:val="left"/>
              <w:rPr>
                <w:rFonts w:eastAsia="ＭＳ 明朝" w:hint="eastAsia"/>
              </w:rPr>
            </w:pPr>
            <w:r w:rsidRPr="009C4D4C">
              <w:rPr>
                <w:rFonts w:ascii="ＭＳ 明朝" w:eastAsia="ＭＳ 明朝" w:hAnsi="ＭＳ 明朝" w:hint="eastAsia"/>
                <w:sz w:val="20"/>
                <w:szCs w:val="20"/>
              </w:rPr>
              <w:t>・眠気を催すことがあるので、自動車の運転など危険を伴う機械の操作には十分注意してください。</w:t>
            </w:r>
          </w:p>
          <w:p w:rsidR="009C4D4C" w:rsidRPr="009C4D4C" w:rsidRDefault="009C4D4C" w:rsidP="009C4D4C">
            <w:pPr>
              <w:ind w:leftChars="100" w:left="410" w:hangingChars="100" w:hanging="200"/>
              <w:jc w:val="left"/>
              <w:rPr>
                <w:rFonts w:ascii="ＭＳ 明朝" w:eastAsia="ＭＳ 明朝"/>
                <w:sz w:val="20"/>
                <w:szCs w:val="20"/>
              </w:rPr>
            </w:pPr>
          </w:p>
        </w:tc>
      </w:tr>
      <w:tr w:rsidR="009C4D4C" w:rsidRPr="009C4D4C" w:rsidTr="009C4D4C">
        <w:tc>
          <w:tcPr>
            <w:tcW w:w="9968" w:type="dxa"/>
            <w:gridSpan w:val="2"/>
            <w:tcBorders>
              <w:top w:val="single" w:sz="4" w:space="0" w:color="auto"/>
              <w:left w:val="single" w:sz="4" w:space="0" w:color="auto"/>
              <w:bottom w:val="single" w:sz="4" w:space="0" w:color="auto"/>
              <w:right w:val="single" w:sz="4" w:space="0" w:color="auto"/>
            </w:tcBorders>
            <w:hideMark/>
          </w:tcPr>
          <w:p w:rsidR="009C4D4C" w:rsidRPr="009C4D4C" w:rsidRDefault="009C4D4C" w:rsidP="009C4D4C">
            <w:pPr>
              <w:jc w:val="left"/>
              <w:rPr>
                <w:rFonts w:ascii="ＭＳ ゴシック" w:eastAsia="ＭＳ ゴシック" w:hAnsi="ＭＳ ゴシック" w:hint="eastAsia"/>
                <w:b/>
                <w:color w:val="FF0000"/>
                <w:sz w:val="20"/>
                <w:szCs w:val="20"/>
              </w:rPr>
            </w:pPr>
            <w:r w:rsidRPr="009C4D4C">
              <w:rPr>
                <w:rFonts w:ascii="ＭＳ ゴシック" w:eastAsia="ＭＳ ゴシック" w:hAnsi="ＭＳ ゴシック" w:hint="eastAsia"/>
                <w:b/>
                <w:color w:val="FF0000"/>
                <w:sz w:val="20"/>
                <w:szCs w:val="20"/>
              </w:rPr>
              <w:t>この薬を使ったあと気をつけていただくこと（副作用）</w:t>
            </w:r>
          </w:p>
          <w:p w:rsidR="009C4D4C" w:rsidRPr="009C4D4C" w:rsidRDefault="009C4D4C" w:rsidP="009C4D4C">
            <w:pPr>
              <w:ind w:leftChars="100" w:left="210"/>
              <w:jc w:val="left"/>
              <w:rPr>
                <w:rFonts w:ascii="ＭＳ 明朝" w:eastAsia="ＭＳ 明朝" w:hint="eastAsia"/>
                <w:sz w:val="20"/>
                <w:szCs w:val="20"/>
              </w:rPr>
            </w:pPr>
            <w:r w:rsidRPr="009C4D4C">
              <w:rPr>
                <w:rFonts w:ascii="ＭＳ 明朝" w:eastAsia="ＭＳ 明朝" w:hAnsi="ＭＳ 明朝" w:hint="eastAsia"/>
                <w:sz w:val="20"/>
                <w:szCs w:val="20"/>
              </w:rPr>
              <w:t>主な副作用として、眠気、倦怠感、頭痛、口渇、胃部不快感、吐き気、腹痛、浮腫（顔や手足のむくみ）、発疹、蕁麻疹、かゆみ、紅斑、頻尿などが報告されています。このような症状に気づいたら、担当の医師または薬剤師に相談してください。</w:t>
            </w:r>
          </w:p>
          <w:p w:rsidR="009C4D4C" w:rsidRPr="009C4D4C" w:rsidRDefault="009C4D4C" w:rsidP="009C4D4C">
            <w:pPr>
              <w:jc w:val="left"/>
              <w:rPr>
                <w:rFonts w:ascii="ＭＳ ゴシック" w:eastAsia="ＭＳ ゴシック" w:hAnsi="ＭＳ ゴシック" w:hint="eastAsia"/>
                <w:b/>
                <w:sz w:val="20"/>
                <w:szCs w:val="20"/>
              </w:rPr>
            </w:pPr>
            <w:r w:rsidRPr="009C4D4C">
              <w:rPr>
                <w:rFonts w:ascii="ＭＳ ゴシック" w:eastAsia="ＭＳ ゴシック" w:hAnsi="ＭＳ ゴシック" w:hint="eastAsia"/>
                <w:b/>
                <w:sz w:val="20"/>
                <w:szCs w:val="20"/>
              </w:rPr>
              <w:t>まれに下記のような症状があらわれ、[　]内に示した副作用の初期症状である可能性があります。</w:t>
            </w:r>
          </w:p>
          <w:p w:rsidR="009C4D4C" w:rsidRPr="009C4D4C" w:rsidRDefault="009C4D4C" w:rsidP="009C4D4C">
            <w:pPr>
              <w:jc w:val="left"/>
              <w:rPr>
                <w:rFonts w:ascii="ＭＳ ゴシック" w:eastAsia="ＭＳ ゴシック" w:hAnsi="ＭＳ ゴシック" w:hint="eastAsia"/>
                <w:b/>
                <w:sz w:val="20"/>
                <w:szCs w:val="20"/>
              </w:rPr>
            </w:pPr>
            <w:r w:rsidRPr="009C4D4C">
              <w:rPr>
                <w:rFonts w:ascii="ＭＳ ゴシック" w:eastAsia="ＭＳ ゴシック" w:hAnsi="ＭＳ ゴシック" w:hint="eastAsia"/>
                <w:b/>
                <w:sz w:val="20"/>
                <w:szCs w:val="20"/>
              </w:rPr>
              <w:t>このような場合には、使用をやめて、すぐに医師の診療を受けてください。</w:t>
            </w:r>
          </w:p>
          <w:p w:rsidR="009C4D4C" w:rsidRPr="009C4D4C" w:rsidRDefault="009C4D4C" w:rsidP="009C4D4C">
            <w:pPr>
              <w:ind w:leftChars="100" w:left="410" w:hangingChars="100" w:hanging="200"/>
              <w:jc w:val="left"/>
              <w:rPr>
                <w:rFonts w:ascii="ＭＳ 明朝" w:eastAsia="ＭＳ 明朝" w:hAnsi="ＭＳ 明朝" w:hint="eastAsia"/>
                <w:sz w:val="20"/>
                <w:szCs w:val="20"/>
              </w:rPr>
            </w:pPr>
            <w:r w:rsidRPr="009C4D4C">
              <w:rPr>
                <w:rFonts w:ascii="ＭＳ 明朝" w:eastAsia="ＭＳ 明朝" w:hAnsi="ＭＳ 明朝" w:hint="eastAsia"/>
                <w:sz w:val="20"/>
                <w:szCs w:val="20"/>
              </w:rPr>
              <w:t>・全身倦怠感、食欲不振、皮膚や結膜などが黄色くなる [肝機能障害、黄疸]</w:t>
            </w:r>
          </w:p>
          <w:p w:rsidR="009C4D4C" w:rsidRPr="009C4D4C" w:rsidRDefault="009C4D4C" w:rsidP="009C4D4C">
            <w:pPr>
              <w:ind w:leftChars="100" w:left="410" w:hangingChars="100" w:hanging="200"/>
              <w:jc w:val="left"/>
              <w:rPr>
                <w:rFonts w:ascii="ＭＳ 明朝" w:eastAsia="ＭＳ 明朝" w:hAnsi="ＭＳ 明朝" w:hint="eastAsia"/>
                <w:sz w:val="20"/>
                <w:szCs w:val="20"/>
              </w:rPr>
            </w:pPr>
            <w:r w:rsidRPr="009C4D4C">
              <w:rPr>
                <w:rFonts w:ascii="ＭＳ 明朝" w:eastAsia="ＭＳ 明朝" w:hAnsi="ＭＳ 明朝" w:hint="eastAsia"/>
                <w:sz w:val="20"/>
                <w:szCs w:val="20"/>
              </w:rPr>
              <w:t>・鼻血、歯ぐきの出血、手足などの皮下出血（あざ） [血小板減少]</w:t>
            </w:r>
          </w:p>
          <w:p w:rsidR="009C4D4C" w:rsidRPr="009C4D4C" w:rsidRDefault="009C4D4C" w:rsidP="009C4D4C">
            <w:pPr>
              <w:jc w:val="left"/>
              <w:rPr>
                <w:rFonts w:ascii="ＭＳ ゴシック" w:eastAsia="ＭＳ ゴシック" w:hAnsi="ＭＳ ゴシック" w:hint="eastAsia"/>
                <w:b/>
                <w:sz w:val="20"/>
                <w:szCs w:val="20"/>
              </w:rPr>
            </w:pPr>
            <w:r w:rsidRPr="009C4D4C">
              <w:rPr>
                <w:rFonts w:ascii="ＭＳ ゴシック" w:eastAsia="ＭＳ ゴシック" w:hAnsi="ＭＳ ゴシック" w:hint="eastAsia"/>
                <w:b/>
                <w:sz w:val="20"/>
                <w:szCs w:val="20"/>
              </w:rPr>
              <w:t>以上の副作用はすべてを記載したものではありません。上記以外でも気になる症状が出た場合は、医師または薬剤師に相談してください。</w:t>
            </w:r>
          </w:p>
        </w:tc>
      </w:tr>
      <w:tr w:rsidR="009C4D4C" w:rsidRPr="009C4D4C" w:rsidTr="009C4D4C">
        <w:tc>
          <w:tcPr>
            <w:tcW w:w="9968" w:type="dxa"/>
            <w:gridSpan w:val="2"/>
            <w:tcBorders>
              <w:top w:val="single" w:sz="4" w:space="0" w:color="auto"/>
              <w:left w:val="single" w:sz="4" w:space="0" w:color="auto"/>
              <w:bottom w:val="single" w:sz="4" w:space="0" w:color="auto"/>
              <w:right w:val="single" w:sz="4" w:space="0" w:color="auto"/>
            </w:tcBorders>
            <w:hideMark/>
          </w:tcPr>
          <w:p w:rsidR="009C4D4C" w:rsidRPr="009C4D4C" w:rsidRDefault="009C4D4C" w:rsidP="009C4D4C">
            <w:pPr>
              <w:jc w:val="left"/>
              <w:rPr>
                <w:rFonts w:ascii="ＭＳ ゴシック" w:eastAsia="ＭＳ ゴシック" w:hAnsi="ＭＳ ゴシック" w:hint="eastAsia"/>
                <w:b/>
                <w:color w:val="FF0000"/>
                <w:sz w:val="20"/>
                <w:szCs w:val="20"/>
              </w:rPr>
            </w:pPr>
            <w:r w:rsidRPr="009C4D4C">
              <w:rPr>
                <w:rFonts w:ascii="ＭＳ ゴシック" w:eastAsia="ＭＳ ゴシック" w:hAnsi="ＭＳ ゴシック" w:hint="eastAsia"/>
                <w:b/>
                <w:color w:val="FF0000"/>
                <w:sz w:val="20"/>
                <w:szCs w:val="20"/>
              </w:rPr>
              <w:t>保管方法 その他</w:t>
            </w:r>
          </w:p>
          <w:p w:rsidR="009C4D4C" w:rsidRPr="009C4D4C" w:rsidRDefault="009C4D4C" w:rsidP="009C4D4C">
            <w:pPr>
              <w:ind w:leftChars="100" w:left="410" w:hangingChars="100" w:hanging="200"/>
              <w:jc w:val="left"/>
              <w:rPr>
                <w:rFonts w:eastAsia="ＭＳ 明朝" w:hint="eastAsia"/>
              </w:rPr>
            </w:pPr>
            <w:r w:rsidRPr="009C4D4C">
              <w:rPr>
                <w:rFonts w:ascii="ＭＳ 明朝" w:eastAsia="ＭＳ 明朝" w:hAnsi="ＭＳ 明朝" w:hint="eastAsia"/>
                <w:sz w:val="20"/>
                <w:szCs w:val="20"/>
              </w:rPr>
              <w:t>・乳幼児、小児の手の届かないところで、直射日光、高温、湿気を避けて保管してください。開封後は、湿気に注意してください。</w:t>
            </w:r>
          </w:p>
          <w:p w:rsidR="009C4D4C" w:rsidRPr="009C4D4C" w:rsidRDefault="009C4D4C" w:rsidP="009C4D4C">
            <w:pPr>
              <w:ind w:leftChars="100" w:left="410" w:hangingChars="100" w:hanging="200"/>
              <w:rPr>
                <w:rFonts w:ascii="ＭＳ 明朝" w:eastAsia="ＭＳ 明朝"/>
                <w:sz w:val="20"/>
                <w:szCs w:val="20"/>
              </w:rPr>
            </w:pPr>
            <w:r w:rsidRPr="009C4D4C">
              <w:rPr>
                <w:rFonts w:ascii="ＭＳ 明朝" w:eastAsia="ＭＳ 明朝" w:hAnsi="ＭＳ 明朝" w:hint="eastAsia"/>
                <w:sz w:val="20"/>
                <w:szCs w:val="20"/>
              </w:rPr>
              <w:t>・薬が残った場合、保管しないで廃棄してください。</w:t>
            </w:r>
          </w:p>
        </w:tc>
      </w:tr>
      <w:tr w:rsidR="009C4D4C" w:rsidRPr="009C4D4C" w:rsidTr="009C4D4C">
        <w:tc>
          <w:tcPr>
            <w:tcW w:w="9968" w:type="dxa"/>
            <w:gridSpan w:val="2"/>
            <w:tcBorders>
              <w:top w:val="single" w:sz="4" w:space="0" w:color="auto"/>
              <w:left w:val="single" w:sz="4" w:space="0" w:color="auto"/>
              <w:bottom w:val="single" w:sz="4" w:space="0" w:color="auto"/>
              <w:right w:val="single" w:sz="4" w:space="0" w:color="auto"/>
            </w:tcBorders>
          </w:tcPr>
          <w:p w:rsidR="009C4D4C" w:rsidRPr="009C4D4C" w:rsidRDefault="009C4D4C" w:rsidP="009C4D4C">
            <w:pPr>
              <w:jc w:val="left"/>
              <w:rPr>
                <w:rFonts w:ascii="ＭＳ 明朝" w:eastAsia="ＭＳ 明朝" w:hint="eastAsia"/>
                <w:sz w:val="20"/>
                <w:szCs w:val="20"/>
              </w:rPr>
            </w:pPr>
            <w:r w:rsidRPr="009C4D4C">
              <w:rPr>
                <w:rFonts w:ascii="ＭＳ ゴシック" w:eastAsia="ＭＳ ゴシック" w:hAnsi="ＭＳ ゴシック" w:hint="eastAsia"/>
                <w:b/>
                <w:color w:val="FF0000"/>
                <w:sz w:val="20"/>
                <w:szCs w:val="20"/>
              </w:rPr>
              <w:t>医療担当者記入欄</w:t>
            </w:r>
            <w:r w:rsidRPr="009C4D4C">
              <w:rPr>
                <w:rFonts w:ascii="ＭＳ ゴシック" w:eastAsia="ＭＳ ゴシック" w:hAnsi="ＭＳ ゴシック" w:hint="eastAsia"/>
                <w:sz w:val="20"/>
                <w:szCs w:val="20"/>
              </w:rPr>
              <w:t xml:space="preserve">      </w:t>
            </w:r>
            <w:r w:rsidRPr="009C4D4C">
              <w:rPr>
                <w:rFonts w:ascii="ＭＳ 明朝" w:eastAsia="ＭＳ 明朝" w:hAnsi="ＭＳ 明朝" w:hint="eastAsia"/>
                <w:sz w:val="20"/>
                <w:szCs w:val="20"/>
              </w:rPr>
              <w:t xml:space="preserve">　　　　　　　　年　　　月　　　日</w:t>
            </w:r>
          </w:p>
          <w:p w:rsidR="009C4D4C" w:rsidRPr="009C4D4C" w:rsidRDefault="009C4D4C" w:rsidP="009C4D4C">
            <w:pPr>
              <w:rPr>
                <w:rFonts w:ascii="ＭＳ 明朝" w:eastAsia="ＭＳ 明朝" w:hint="eastAsia"/>
                <w:sz w:val="20"/>
                <w:szCs w:val="20"/>
              </w:rPr>
            </w:pPr>
          </w:p>
          <w:p w:rsidR="009C4D4C" w:rsidRPr="009C4D4C" w:rsidRDefault="009C4D4C" w:rsidP="009C4D4C">
            <w:pPr>
              <w:rPr>
                <w:rFonts w:ascii="ＭＳ ゴシック" w:eastAsia="ＭＳ ゴシック" w:hAnsi="ＭＳ ゴシック" w:hint="eastAsia"/>
                <w:sz w:val="20"/>
                <w:szCs w:val="20"/>
              </w:rPr>
            </w:pPr>
          </w:p>
        </w:tc>
      </w:tr>
    </w:tbl>
    <w:p w:rsidR="009C4D4C" w:rsidRDefault="009C4D4C" w:rsidP="00C84836">
      <w:pPr>
        <w:jc w:val="center"/>
        <w:outlineLvl w:val="0"/>
        <w:rPr>
          <w:rFonts w:ascii="ＭＳ 明朝" w:eastAsia="ＭＳ 明朝" w:hAnsi="ＭＳ 明朝"/>
          <w:kern w:val="0"/>
          <w:sz w:val="20"/>
          <w:szCs w:val="20"/>
        </w:rPr>
      </w:pPr>
      <w:r w:rsidRPr="009C4D4C">
        <w:rPr>
          <w:rFonts w:ascii="ＭＳ 明朝" w:eastAsia="ＭＳ 明朝" w:hAnsi="ＭＳ 明朝" w:hint="eastAsia"/>
          <w:kern w:val="0"/>
          <w:sz w:val="20"/>
          <w:szCs w:val="20"/>
        </w:rPr>
        <w:t>より詳細な情報を望まれる場合は、担当の医師または薬剤師におたずねください。また、「患者向医薬品ガイド」、医療専門家向けの「添付文書情報」が医薬品医療機器総合機構のホームページに掲載されています。</w:t>
      </w:r>
    </w:p>
    <w:p w:rsidR="009C4D4C" w:rsidRDefault="009C4D4C" w:rsidP="00C84836">
      <w:pPr>
        <w:jc w:val="center"/>
        <w:outlineLvl w:val="0"/>
        <w:rPr>
          <w:rFonts w:ascii="ＭＳ 明朝" w:eastAsia="ＭＳ 明朝" w:hAnsi="ＭＳ 明朝"/>
          <w:kern w:val="0"/>
          <w:sz w:val="20"/>
          <w:szCs w:val="20"/>
        </w:rPr>
      </w:pPr>
    </w:p>
    <w:p w:rsidR="009C4D4C" w:rsidRDefault="009C4D4C" w:rsidP="00C84836">
      <w:pPr>
        <w:jc w:val="center"/>
        <w:outlineLvl w:val="0"/>
        <w:rPr>
          <w:rFonts w:ascii="ＭＳ 明朝" w:eastAsia="ＭＳ 明朝" w:hAnsi="ＭＳ 明朝"/>
          <w:kern w:val="0"/>
          <w:sz w:val="20"/>
          <w:szCs w:val="20"/>
        </w:rPr>
      </w:pPr>
    </w:p>
    <w:p w:rsidR="009C4D4C" w:rsidRDefault="009C4D4C" w:rsidP="00C84836">
      <w:pPr>
        <w:jc w:val="center"/>
        <w:outlineLvl w:val="0"/>
        <w:rPr>
          <w:rFonts w:ascii="ＭＳ 明朝" w:eastAsia="ＭＳ 明朝" w:hAnsi="ＭＳ 明朝"/>
          <w:kern w:val="0"/>
          <w:sz w:val="20"/>
          <w:szCs w:val="20"/>
        </w:rPr>
      </w:pPr>
    </w:p>
    <w:p w:rsidR="009C4D4C" w:rsidRDefault="009C4D4C" w:rsidP="00C84836">
      <w:pPr>
        <w:jc w:val="center"/>
        <w:outlineLvl w:val="0"/>
        <w:rPr>
          <w:rFonts w:ascii="ＭＳ 明朝" w:eastAsia="ＭＳ 明朝" w:hAnsi="ＭＳ 明朝"/>
          <w:kern w:val="0"/>
          <w:sz w:val="20"/>
          <w:szCs w:val="20"/>
        </w:rPr>
      </w:pPr>
    </w:p>
    <w:p w:rsidR="009C4D4C" w:rsidRDefault="009C4D4C" w:rsidP="00C84836">
      <w:pPr>
        <w:jc w:val="center"/>
        <w:outlineLvl w:val="0"/>
        <w:rPr>
          <w:rFonts w:ascii="ＭＳ 明朝" w:eastAsia="ＭＳ 明朝" w:hAnsi="ＭＳ 明朝"/>
          <w:kern w:val="0"/>
          <w:sz w:val="20"/>
          <w:szCs w:val="20"/>
        </w:rPr>
      </w:pPr>
    </w:p>
    <w:p w:rsidR="00DB2351" w:rsidRDefault="00DB2351" w:rsidP="00C84836">
      <w:pPr>
        <w:jc w:val="center"/>
        <w:outlineLvl w:val="0"/>
        <w:rPr>
          <w:rFonts w:asciiTheme="majorHAnsi" w:eastAsiaTheme="majorEastAsia" w:hAnsiTheme="majorHAnsi" w:cs="游ゴシック Light"/>
          <w:sz w:val="24"/>
          <w:szCs w:val="24"/>
        </w:rPr>
      </w:pPr>
      <w:bookmarkStart w:id="0" w:name="_GoBack"/>
      <w:bookmarkEnd w:id="0"/>
      <w:r w:rsidRPr="00244138">
        <w:rPr>
          <w:rFonts w:asciiTheme="majorHAnsi" w:eastAsiaTheme="majorEastAsia" w:hAnsiTheme="majorHAnsi" w:cs="游ゴシック Light"/>
          <w:sz w:val="28"/>
          <w:szCs w:val="24"/>
        </w:rPr>
        <w:lastRenderedPageBreak/>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rsidR="00DB2351" w:rsidRDefault="00DB2351" w:rsidP="00DB2351">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rsidR="00DB2351" w:rsidRPr="00244138" w:rsidRDefault="00DB2351" w:rsidP="00DB2351">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07/2012</w:t>
      </w:r>
    </w:p>
    <w:tbl>
      <w:tblPr>
        <w:tblStyle w:val="a3"/>
        <w:tblW w:w="0" w:type="auto"/>
        <w:tblLook w:val="04A0" w:firstRow="1" w:lastRow="0" w:firstColumn="1" w:lastColumn="0" w:noHBand="0" w:noVBand="1"/>
      </w:tblPr>
      <w:tblGrid>
        <w:gridCol w:w="7832"/>
        <w:gridCol w:w="2136"/>
      </w:tblGrid>
      <w:tr w:rsidR="00DB2351" w:rsidTr="00600598">
        <w:tc>
          <w:tcPr>
            <w:tcW w:w="9968" w:type="dxa"/>
            <w:gridSpan w:val="2"/>
          </w:tcPr>
          <w:p w:rsidR="00DB2351" w:rsidRPr="00244138" w:rsidRDefault="00DB2351" w:rsidP="00600598">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DB2351" w:rsidTr="002D19BC">
        <w:trPr>
          <w:trHeight w:val="1134"/>
        </w:trPr>
        <w:tc>
          <w:tcPr>
            <w:tcW w:w="7849" w:type="dxa"/>
          </w:tcPr>
          <w:p w:rsidR="00DB2351" w:rsidRPr="00507AE7" w:rsidRDefault="00DB2351" w:rsidP="00600598">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Epinastine</w:t>
            </w:r>
            <w:proofErr w:type="spellEnd"/>
            <w:r w:rsidRPr="00507AE7">
              <w:rPr>
                <w:rFonts w:ascii="ＭＳ Ｐゴシック" w:eastAsia="ＭＳ Ｐゴシック" w:hAnsi="ＭＳ Ｐゴシック" w:cs="游ゴシック Light"/>
                <w:b/>
                <w:sz w:val="24"/>
                <w:szCs w:val="24"/>
              </w:rPr>
              <w:t xml:space="preserve"> Hydrochloride Tablets 10mg "Chemiphar"</w:t>
            </w:r>
          </w:p>
          <w:p w:rsidR="00DB2351" w:rsidRPr="00507AE7" w:rsidRDefault="00DB2351" w:rsidP="00600598">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Epinastine</w:t>
            </w:r>
            <w:proofErr w:type="spellEnd"/>
            <w:r w:rsidRPr="00507AE7">
              <w:rPr>
                <w:rFonts w:ascii="ＭＳ Ｐ明朝" w:eastAsia="ＭＳ Ｐ明朝" w:hAnsi="ＭＳ Ｐ明朝"/>
                <w:sz w:val="20"/>
                <w:szCs w:val="20"/>
              </w:rPr>
              <w:t xml:space="preserve"> hydrochloride</w:t>
            </w:r>
          </w:p>
          <w:p w:rsidR="00DB2351" w:rsidRPr="00507AE7" w:rsidRDefault="00DB2351" w:rsidP="00600598">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white</w:t>
            </w:r>
            <w:proofErr w:type="spellEnd"/>
            <w:r w:rsidRPr="00507AE7">
              <w:rPr>
                <w:rFonts w:ascii="ＭＳ Ｐ明朝" w:eastAsia="ＭＳ Ｐ明朝" w:hAnsi="ＭＳ Ｐ明朝"/>
                <w:sz w:val="20"/>
                <w:szCs w:val="20"/>
              </w:rPr>
              <w:t xml:space="preserve"> to faint yellow tablet, diameter : approx. 6.6 mm, thickness : approx. 3.2 mm</w:t>
            </w:r>
          </w:p>
          <w:p w:rsidR="00DB2351" w:rsidRPr="00DF5189" w:rsidRDefault="00DB2351" w:rsidP="00600598">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Print on wrapping:</w:t>
            </w:r>
            <w:r w:rsidR="008244C4" w:rsidRPr="00507AE7">
              <w:rPr>
                <w:rFonts w:ascii="ＭＳ Ｐ明朝" w:eastAsia="ＭＳ Ｐ明朝" w:hAnsi="ＭＳ Ｐ明朝" w:hint="eastAsia"/>
                <w:sz w:val="20"/>
                <w:szCs w:val="20"/>
              </w:rPr>
              <w:t>エピナスチン塩酸塩</w:t>
            </w:r>
            <w:r w:rsidR="008244C4" w:rsidRPr="00507AE7">
              <w:rPr>
                <w:rFonts w:ascii="ＭＳ Ｐ明朝" w:eastAsia="ＭＳ Ｐ明朝" w:hAnsi="ＭＳ Ｐ明朝"/>
                <w:sz w:val="20"/>
                <w:szCs w:val="20"/>
              </w:rPr>
              <w:t>10mg</w:t>
            </w:r>
            <w:r w:rsidR="008244C4" w:rsidRPr="00507AE7">
              <w:rPr>
                <w:rFonts w:ascii="ＭＳ Ｐ明朝" w:eastAsia="ＭＳ Ｐ明朝" w:hAnsi="ＭＳ Ｐ明朝" w:hint="eastAsia"/>
                <w:sz w:val="20"/>
                <w:szCs w:val="20"/>
              </w:rPr>
              <w:t>「ケミファ」</w:t>
            </w:r>
            <w:r w:rsidR="008244C4" w:rsidRPr="00507AE7">
              <w:rPr>
                <w:rFonts w:ascii="ＭＳ Ｐ明朝" w:eastAsia="ＭＳ Ｐ明朝" w:hAnsi="ＭＳ Ｐ明朝"/>
                <w:sz w:val="20"/>
                <w:szCs w:val="20"/>
              </w:rPr>
              <w:t xml:space="preserve">, 10, NPI120, </w:t>
            </w:r>
            <w:r w:rsidR="008244C4" w:rsidRPr="00507AE7">
              <w:rPr>
                <w:rFonts w:ascii="ＭＳ Ｐ明朝" w:eastAsia="ＭＳ Ｐ明朝" w:hAnsi="ＭＳ Ｐ明朝" w:hint="eastAsia"/>
                <w:sz w:val="20"/>
                <w:szCs w:val="20"/>
              </w:rPr>
              <w:t>アレルギー用薬</w:t>
            </w:r>
            <w:r w:rsidR="008244C4" w:rsidRPr="00507AE7">
              <w:rPr>
                <w:rFonts w:ascii="ＭＳ Ｐ明朝" w:eastAsia="ＭＳ Ｐ明朝" w:hAnsi="ＭＳ Ｐ明朝"/>
                <w:sz w:val="20"/>
                <w:szCs w:val="20"/>
              </w:rPr>
              <w:t>, Epinastine10mg</w:t>
            </w:r>
          </w:p>
        </w:tc>
        <w:tc>
          <w:tcPr>
            <w:tcW w:w="2119" w:type="dxa"/>
          </w:tcPr>
          <w:p w:rsidR="00DB2351" w:rsidRPr="00244138" w:rsidRDefault="00DB2351" w:rsidP="00C84836">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extent cx="1219200" cy="64325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3255"/>
                          </a:xfrm>
                          <a:prstGeom prst="rect">
                            <a:avLst/>
                          </a:prstGeom>
                          <a:noFill/>
                          <a:ln>
                            <a:noFill/>
                          </a:ln>
                        </pic:spPr>
                      </pic:pic>
                    </a:graphicData>
                  </a:graphic>
                </wp:inline>
              </w:drawing>
            </w:r>
          </w:p>
        </w:tc>
      </w:tr>
      <w:tr w:rsidR="00DB2351" w:rsidTr="00600598">
        <w:tc>
          <w:tcPr>
            <w:tcW w:w="9968" w:type="dxa"/>
            <w:gridSpan w:val="2"/>
          </w:tcPr>
          <w:p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rsidR="006513D6" w:rsidRDefault="008244C4" w:rsidP="00600598">
            <w:pPr>
              <w:ind w:leftChars="100" w:left="210"/>
              <w:jc w:val="left"/>
            </w:pPr>
            <w:r w:rsidRPr="00507AE7">
              <w:rPr>
                <w:rFonts w:ascii="ＭＳ Ｐ明朝" w:eastAsia="ＭＳ Ｐ明朝" w:hAnsi="ＭＳ Ｐ明朝"/>
                <w:sz w:val="20"/>
                <w:szCs w:val="20"/>
              </w:rPr>
              <w:t>This medicine is a selective H</w:t>
            </w:r>
            <w:r w:rsidRPr="00507AE7">
              <w:rPr>
                <w:rFonts w:ascii="ＭＳ Ｐ明朝" w:eastAsia="ＭＳ Ｐ明朝" w:hAnsi="ＭＳ Ｐ明朝"/>
                <w:sz w:val="20"/>
                <w:szCs w:val="20"/>
                <w:vertAlign w:val="subscript"/>
              </w:rPr>
              <w:t>1</w:t>
            </w:r>
            <w:r w:rsidRPr="00507AE7">
              <w:rPr>
                <w:rFonts w:ascii="ＭＳ Ｐ明朝" w:eastAsia="ＭＳ Ｐ明朝" w:hAnsi="ＭＳ Ｐ明朝"/>
                <w:sz w:val="20"/>
                <w:szCs w:val="20"/>
              </w:rPr>
              <w:t>-receptor antagonist and also has an antiallergic effect by inhibiting the release of allergy-inducing substances such as histamine.</w:t>
            </w:r>
          </w:p>
          <w:p w:rsidR="008244C4" w:rsidRPr="00507AE7" w:rsidRDefault="008244C4"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Usually, this medicine is used to treat bronchial asthma, allergic rhinitis, hives, eczema, dermatitis, pruritus cutaneous, prurigo and psoriasis vulgaris with pruritus.</w:t>
            </w:r>
          </w:p>
        </w:tc>
      </w:tr>
      <w:tr w:rsidR="00DB2351" w:rsidTr="00600598">
        <w:tc>
          <w:tcPr>
            <w:tcW w:w="9968" w:type="dxa"/>
            <w:gridSpan w:val="2"/>
          </w:tcPr>
          <w:p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Before using this medicine, be sure to tell your doctor and pharmacist</w:t>
            </w:r>
          </w:p>
          <w:p w:rsidR="006513D6"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w:t>
            </w:r>
          </w:p>
          <w:p w:rsidR="006513D6" w:rsidRDefault="008244C4" w:rsidP="00105DF2">
            <w:pPr>
              <w:ind w:leftChars="150" w:left="315"/>
              <w:jc w:val="left"/>
            </w:pPr>
            <w:r w:rsidRPr="00507AE7">
              <w:rPr>
                <w:rFonts w:ascii="ＭＳ Ｐ明朝" w:eastAsia="ＭＳ Ｐ明朝" w:hAnsi="ＭＳ Ｐ明朝"/>
                <w:sz w:val="20"/>
                <w:szCs w:val="20"/>
              </w:rPr>
              <w:t>If you have or have a history of liver disorder.</w:t>
            </w:r>
          </w:p>
          <w:p w:rsidR="006513D6"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DB2351" w:rsidTr="00600598">
        <w:trPr>
          <w:trHeight w:val="740"/>
        </w:trPr>
        <w:tc>
          <w:tcPr>
            <w:tcW w:w="9968" w:type="dxa"/>
            <w:gridSpan w:val="2"/>
          </w:tcPr>
          <w:p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rsidR="00DB2351" w:rsidRPr="007F7472" w:rsidRDefault="00BF1AC3" w:rsidP="00600598">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00DB2351" w:rsidRPr="001F6018">
              <w:rPr>
                <w:rFonts w:asciiTheme="majorHAnsi" w:eastAsiaTheme="majorEastAsia" w:hAnsiTheme="majorHAnsi" w:cs="游ゴシック Light"/>
                <w:sz w:val="20"/>
                <w:szCs w:val="20"/>
              </w:rPr>
              <w:t>Your dosing schedule prescribed by your doctor is</w:t>
            </w:r>
            <w:r w:rsidR="001161D6">
              <w:rPr>
                <w:rFonts w:asciiTheme="majorHAnsi" w:eastAsiaTheme="majorEastAsia" w:hAnsiTheme="majorHAnsi" w:cs="游ゴシック Light"/>
                <w:sz w:val="20"/>
                <w:szCs w:val="20"/>
              </w:rPr>
              <w:t>((</w:t>
            </w:r>
            <w:r w:rsidR="00DB2351">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161D6">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F6018">
              <w:rPr>
                <w:rFonts w:asciiTheme="majorHAnsi" w:eastAsiaTheme="majorEastAsia" w:hAnsiTheme="majorHAnsi" w:cs="游ゴシック Light"/>
                <w:b/>
                <w:sz w:val="20"/>
                <w:szCs w:val="20"/>
              </w:rPr>
              <w:t xml:space="preserve">   </w:t>
            </w:r>
            <w:r w:rsidR="00DB2351" w:rsidRPr="007F7472">
              <w:rPr>
                <w:rFonts w:ascii="ＭＳ Ｐ明朝" w:eastAsia="ＭＳ Ｐ明朝" w:hAnsi="ＭＳ Ｐ明朝"/>
                <w:sz w:val="20"/>
                <w:szCs w:val="20"/>
              </w:rPr>
              <w:t>to be written by a healthcare professional</w:t>
            </w:r>
            <w:r w:rsidR="001161D6">
              <w:rPr>
                <w:rFonts w:asciiTheme="majorHAnsi" w:eastAsiaTheme="majorEastAsia" w:hAnsiTheme="majorHAnsi" w:cs="游ゴシック Light"/>
                <w:sz w:val="20"/>
                <w:szCs w:val="20"/>
              </w:rPr>
              <w:t>))</w:t>
            </w:r>
          </w:p>
          <w:p w:rsidR="006513D6" w:rsidRDefault="00DF5189"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u w:val="single"/>
              </w:rPr>
              <w:t>For asthma and skin diseases such as hives</w:t>
            </w:r>
            <w:r w:rsidRPr="00507AE7">
              <w:rPr>
                <w:rFonts w:ascii="ＭＳ Ｐ明朝" w:eastAsia="ＭＳ Ｐ明朝" w:hAnsi="ＭＳ Ｐ明朝"/>
                <w:sz w:val="20"/>
                <w:szCs w:val="20"/>
              </w:rPr>
              <w:t>: In general, for adults, take one tablet (20mg of the active ingredient) at a time, once daily.</w:t>
            </w:r>
          </w:p>
          <w:p w:rsidR="006513D6" w:rsidRDefault="00DF5189" w:rsidP="00105DF2">
            <w:pPr>
              <w:ind w:leftChars="150" w:left="315"/>
              <w:jc w:val="left"/>
            </w:pPr>
            <w:r w:rsidRPr="00507AE7">
              <w:rPr>
                <w:rFonts w:ascii="ＭＳ Ｐ明朝" w:eastAsia="ＭＳ Ｐ明朝" w:hAnsi="ＭＳ Ｐ明朝"/>
                <w:sz w:val="20"/>
                <w:szCs w:val="20"/>
                <w:u w:val="single"/>
              </w:rPr>
              <w:t>For allergic rhinitis</w:t>
            </w:r>
            <w:r w:rsidRPr="00507AE7">
              <w:rPr>
                <w:rFonts w:ascii="ＭＳ Ｐ明朝" w:eastAsia="ＭＳ Ｐ明朝" w:hAnsi="ＭＳ Ｐ明朝"/>
                <w:sz w:val="20"/>
                <w:szCs w:val="20"/>
              </w:rPr>
              <w:t>: In general, for adults, take 10 to 20mg of the active ingredient at a time, once daily. This preparation contains 20mg of the active ingredient in one tablet. In any case, the dosage may be adjusted according to the disease, age or symptoms. Strictly follow the instructions.</w:t>
            </w:r>
          </w:p>
          <w:p w:rsidR="006513D6"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the missed dose as soon as possible. If it is almost time for the next dose, skip the missed dose and continue your regular dosing schedule. You should never take two doses at one time.</w:t>
            </w:r>
          </w:p>
          <w:p w:rsidR="006513D6"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rsidR="00DB2351" w:rsidRPr="00244138" w:rsidRDefault="00DF5189" w:rsidP="00A17BE1">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DB2351" w:rsidTr="00600598">
        <w:tc>
          <w:tcPr>
            <w:tcW w:w="9968" w:type="dxa"/>
            <w:gridSpan w:val="2"/>
          </w:tcPr>
          <w:p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rsidR="006513D6"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This medicine may cause drowsiness. Pay close attention when engaging in hazardous activities such as driving a car.</w:t>
            </w:r>
          </w:p>
          <w:p w:rsidR="008244C4" w:rsidRPr="00507AE7" w:rsidRDefault="008244C4" w:rsidP="00600598">
            <w:pPr>
              <w:ind w:leftChars="100" w:left="410" w:hangingChars="100" w:hanging="200"/>
              <w:jc w:val="left"/>
              <w:rPr>
                <w:rFonts w:ascii="ＭＳ Ｐ明朝" w:eastAsia="ＭＳ Ｐ明朝" w:hAnsi="ＭＳ Ｐ明朝"/>
                <w:sz w:val="20"/>
                <w:szCs w:val="20"/>
              </w:rPr>
            </w:pPr>
          </w:p>
        </w:tc>
      </w:tr>
      <w:tr w:rsidR="00DB2351" w:rsidTr="00600598">
        <w:tc>
          <w:tcPr>
            <w:tcW w:w="9968" w:type="dxa"/>
            <w:gridSpan w:val="2"/>
          </w:tcPr>
          <w:p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rsidR="00DB2351" w:rsidRPr="00507AE7" w:rsidRDefault="00DB2351"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drowsiness, malaise, headache, dry mouth, gastric discomfort, nausea, abdominal pain, edema (face, limbs), rash, hives, itching, erythema and frequent urination. If any of these symptoms occur, consult with your doctor or pharmacist.</w:t>
            </w:r>
          </w:p>
          <w:p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general malaise, loss of appetite, yellowness of the skin or conjunctiva [hepatic dysfunction, jaundice]</w:t>
            </w:r>
          </w:p>
          <w:p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nose bleeding, gum bleeding, subcutaneous bleeding of the limbs (bruise) [thrombocytopenia]</w:t>
            </w:r>
          </w:p>
          <w:p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DB2351" w:rsidTr="00600598">
        <w:tc>
          <w:tcPr>
            <w:tcW w:w="9968" w:type="dxa"/>
            <w:gridSpan w:val="2"/>
          </w:tcPr>
          <w:p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rsidR="006513D6"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direct sunlight, heat and moisture. Avoid moisture after opening.</w:t>
            </w:r>
          </w:p>
          <w:p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w:t>
            </w:r>
          </w:p>
        </w:tc>
      </w:tr>
      <w:tr w:rsidR="00DB2351" w:rsidTr="00600598">
        <w:tc>
          <w:tcPr>
            <w:tcW w:w="9968" w:type="dxa"/>
            <w:gridSpan w:val="2"/>
          </w:tcPr>
          <w:p w:rsidR="00DB2351" w:rsidRDefault="00DB2351" w:rsidP="00600598">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rsidR="00DB2351" w:rsidRDefault="00DB2351" w:rsidP="00600598">
            <w:pPr>
              <w:rPr>
                <w:rFonts w:asciiTheme="minorEastAsia"/>
                <w:sz w:val="20"/>
                <w:szCs w:val="20"/>
              </w:rPr>
            </w:pPr>
          </w:p>
          <w:p w:rsidR="00DB2351" w:rsidRPr="007D422F" w:rsidRDefault="00DB2351" w:rsidP="00600598">
            <w:pPr>
              <w:rPr>
                <w:rFonts w:asciiTheme="majorEastAsia" w:eastAsiaTheme="majorEastAsia" w:hAnsiTheme="majorEastAsia"/>
                <w:sz w:val="20"/>
                <w:szCs w:val="20"/>
              </w:rPr>
            </w:pPr>
          </w:p>
        </w:tc>
      </w:tr>
    </w:tbl>
    <w:p w:rsidR="007D422F" w:rsidRPr="00DB2351" w:rsidRDefault="00DB2351" w:rsidP="00DB2351">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sectPr w:rsidR="007D422F" w:rsidRPr="00DB2351" w:rsidSect="00DB2351">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A89" w:rsidRDefault="00836A89" w:rsidP="005676BB">
      <w:r>
        <w:separator/>
      </w:r>
    </w:p>
  </w:endnote>
  <w:endnote w:type="continuationSeparator" w:id="0">
    <w:p w:rsidR="00836A89" w:rsidRDefault="00836A89"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1161D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1161D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A89" w:rsidRDefault="00836A89" w:rsidP="005676BB">
      <w:r>
        <w:separator/>
      </w:r>
    </w:p>
  </w:footnote>
  <w:footnote w:type="continuationSeparator" w:id="0">
    <w:p w:rsidR="00836A89" w:rsidRDefault="00836A89"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D422F"/>
    <w:rsid w:val="00004AC1"/>
    <w:rsid w:val="000600ED"/>
    <w:rsid w:val="00105DF2"/>
    <w:rsid w:val="001161D6"/>
    <w:rsid w:val="00133BA4"/>
    <w:rsid w:val="001D7781"/>
    <w:rsid w:val="001F6018"/>
    <w:rsid w:val="002209A5"/>
    <w:rsid w:val="0022776B"/>
    <w:rsid w:val="00244138"/>
    <w:rsid w:val="002A4A81"/>
    <w:rsid w:val="002D19BC"/>
    <w:rsid w:val="00507AE7"/>
    <w:rsid w:val="005676BB"/>
    <w:rsid w:val="00600598"/>
    <w:rsid w:val="006513D6"/>
    <w:rsid w:val="006A40B0"/>
    <w:rsid w:val="007D422F"/>
    <w:rsid w:val="007F7472"/>
    <w:rsid w:val="008244C4"/>
    <w:rsid w:val="00836A89"/>
    <w:rsid w:val="009C4D4C"/>
    <w:rsid w:val="00A17BE1"/>
    <w:rsid w:val="00A82244"/>
    <w:rsid w:val="00BF1AC3"/>
    <w:rsid w:val="00C5095E"/>
    <w:rsid w:val="00C84836"/>
    <w:rsid w:val="00DB2351"/>
    <w:rsid w:val="00DF5189"/>
    <w:rsid w:val="00E0621B"/>
    <w:rsid w:val="00EA6A65"/>
    <w:rsid w:val="00EB7D9B"/>
    <w:rsid w:val="00F8719D"/>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6D94D9F"/>
  <w14:defaultImageDpi w14:val="0"/>
  <w15:docId w15:val="{9D49393E-7F86-49B6-9775-814FCE434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235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C84836"/>
    <w:rPr>
      <w:rFonts w:ascii="MS UI Gothic" w:eastAsia="MS UI Gothic"/>
      <w:sz w:val="18"/>
      <w:szCs w:val="18"/>
    </w:rPr>
  </w:style>
  <w:style w:type="character" w:customStyle="1" w:styleId="a9">
    <w:name w:val="見出しマップ (文字)"/>
    <w:basedOn w:val="a0"/>
    <w:link w:val="a8"/>
    <w:uiPriority w:val="99"/>
    <w:semiHidden/>
    <w:locked/>
    <w:rsid w:val="00C84836"/>
    <w:rPr>
      <w:rFonts w:ascii="MS UI Gothic" w:eastAsia="MS UI Gothic" w:cs="Times New Roman"/>
      <w:sz w:val="18"/>
      <w:szCs w:val="18"/>
    </w:rPr>
  </w:style>
  <w:style w:type="paragraph" w:styleId="aa">
    <w:name w:val="Balloon Text"/>
    <w:basedOn w:val="a"/>
    <w:link w:val="ab"/>
    <w:uiPriority w:val="99"/>
    <w:semiHidden/>
    <w:unhideWhenUsed/>
    <w:rsid w:val="00A8224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82244"/>
    <w:rPr>
      <w:rFonts w:asciiTheme="majorHAnsi" w:eastAsiaTheme="majorEastAsia" w:hAnsiTheme="majorHAnsi" w:cstheme="majorBidi"/>
      <w:sz w:val="18"/>
      <w:szCs w:val="18"/>
    </w:rPr>
  </w:style>
  <w:style w:type="table" w:customStyle="1" w:styleId="1">
    <w:name w:val="表 (格子)1"/>
    <w:basedOn w:val="a1"/>
    <w:next w:val="a3"/>
    <w:uiPriority w:val="59"/>
    <w:rsid w:val="009C4D4C"/>
    <w:rPr>
      <w:rFonts w:ascii="Century" w:eastAsia="Times New Roman" w:hAnsi="Century"/>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42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6AB70-FABC-44C8-B2AA-044679FE9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830</Words>
  <Characters>4733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エピナスチン塩酸塩錠10mg「ケミファ」_くすりのしおり</dc:title>
  <dc:subject/>
  <dc:creator>日本ケミファ株式会社</dc:creator>
  <cp:keywords/>
  <dc:description/>
  <cp:revision>2</cp:revision>
  <dcterms:created xsi:type="dcterms:W3CDTF">2019-11-15T08:07:00Z</dcterms:created>
  <dcterms:modified xsi:type="dcterms:W3CDTF">2019-11-15T08:10:00Z</dcterms:modified>
</cp:coreProperties>
</file>